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3866"/>
        <w:gridCol w:w="1943"/>
        <w:gridCol w:w="3083"/>
      </w:tblGrid>
      <w:tr w:rsidR="001E4320" w14:paraId="60D0DAE3" w14:textId="77777777" w:rsidTr="001E4320">
        <w:trPr>
          <w:tblCellSpacing w:w="15" w:type="dxa"/>
          <w:jc w:val="center"/>
        </w:trPr>
        <w:tc>
          <w:tcPr>
            <w:tcW w:w="0" w:type="auto"/>
            <w:vAlign w:val="center"/>
            <w:hideMark/>
          </w:tcPr>
          <w:bookmarkStart w:id="0" w:name="top"/>
          <w:bookmarkEnd w:id="0"/>
          <w:p w14:paraId="1084A5B4" w14:textId="77777777" w:rsidR="001E4320" w:rsidRDefault="001E4320">
            <w:pPr>
              <w:rPr>
                <w:szCs w:val="24"/>
              </w:rPr>
            </w:pPr>
            <w:r>
              <w:fldChar w:fldCharType="begin"/>
            </w:r>
            <w:r>
              <w:instrText xml:space="preserve"> HYPERLINK "http://usdbiology.com/cliff" </w:instrText>
            </w:r>
            <w:r>
              <w:fldChar w:fldCharType="separate"/>
            </w:r>
            <w:r>
              <w:rPr>
                <w:rStyle w:val="Hyperlink"/>
                <w:b/>
                <w:bCs/>
              </w:rPr>
              <w:t>Dr. Cliff H. Summers</w:t>
            </w:r>
            <w:r>
              <w:rPr>
                <w:color w:val="0000FF"/>
                <w:u w:val="single"/>
              </w:rPr>
              <w:br/>
            </w:r>
            <w:r>
              <w:rPr>
                <w:rStyle w:val="Hyperlink"/>
                <w:sz w:val="15"/>
                <w:szCs w:val="15"/>
              </w:rPr>
              <w:t>Churchill-Haines 168F</w:t>
            </w:r>
            <w:r>
              <w:fldChar w:fldCharType="end"/>
            </w:r>
            <w:r>
              <w:t xml:space="preserve"> </w:t>
            </w:r>
            <w:hyperlink r:id="rId7" w:history="1">
              <w:r w:rsidRPr="007F640C">
                <w:rPr>
                  <w:rStyle w:val="Hyperlink"/>
                </w:rPr>
                <w:t>cliff@usd.edu</w:t>
              </w:r>
            </w:hyperlink>
            <w:r>
              <w:t xml:space="preserve"> </w:t>
            </w:r>
          </w:p>
        </w:tc>
        <w:tc>
          <w:tcPr>
            <w:tcW w:w="0" w:type="auto"/>
            <w:vAlign w:val="center"/>
            <w:hideMark/>
          </w:tcPr>
          <w:p w14:paraId="4BD5A775" w14:textId="77777777" w:rsidR="001E4320" w:rsidRDefault="001E4320">
            <w:pPr>
              <w:rPr>
                <w:szCs w:val="24"/>
              </w:rPr>
            </w:pPr>
            <w:r>
              <w:rPr>
                <w:noProof/>
                <w:color w:val="0000FF"/>
              </w:rPr>
              <w:drawing>
                <wp:inline distT="0" distB="0" distL="0" distR="0" wp14:anchorId="5DC6BB94" wp14:editId="2C170FA2">
                  <wp:extent cx="858520" cy="296545"/>
                  <wp:effectExtent l="0" t="0" r="0" b="8255"/>
                  <wp:docPr id="2" name="Picture 2" descr="USD Department of Biolog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 Department of Biolog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296545"/>
                          </a:xfrm>
                          <a:prstGeom prst="rect">
                            <a:avLst/>
                          </a:prstGeom>
                          <a:noFill/>
                          <a:ln>
                            <a:noFill/>
                          </a:ln>
                        </pic:spPr>
                      </pic:pic>
                    </a:graphicData>
                  </a:graphic>
                </wp:inline>
              </w:drawing>
            </w:r>
          </w:p>
        </w:tc>
        <w:tc>
          <w:tcPr>
            <w:tcW w:w="0" w:type="auto"/>
            <w:vAlign w:val="center"/>
            <w:hideMark/>
          </w:tcPr>
          <w:p w14:paraId="5E860EC4" w14:textId="77777777" w:rsidR="00D56627" w:rsidRDefault="00785786" w:rsidP="00D56627">
            <w:pPr>
              <w:pStyle w:val="Heading1"/>
              <w:jc w:val="center"/>
              <w:rPr>
                <w:color w:val="000000"/>
              </w:rPr>
            </w:pPr>
            <w:hyperlink r:id="rId10" w:history="1">
              <w:r w:rsidR="00D56627">
                <w:rPr>
                  <w:rStyle w:val="Hyperlink"/>
                  <w:sz w:val="36"/>
                  <w:szCs w:val="36"/>
                </w:rPr>
                <w:t>Endocrinology</w:t>
              </w:r>
            </w:hyperlink>
          </w:p>
          <w:p w14:paraId="57F1582F" w14:textId="77777777" w:rsidR="001E4320" w:rsidRDefault="001E4320" w:rsidP="00D56627">
            <w:pPr>
              <w:jc w:val="right"/>
              <w:rPr>
                <w:szCs w:val="24"/>
              </w:rPr>
            </w:pPr>
            <w:r>
              <w:rPr>
                <w:sz w:val="27"/>
                <w:szCs w:val="27"/>
              </w:rPr>
              <w:t>BIOL 432    3 credits</w:t>
            </w:r>
            <w:r>
              <w:br/>
            </w:r>
            <w:r w:rsidR="00D56627">
              <w:t>Fall</w:t>
            </w:r>
            <w:r>
              <w:t xml:space="preserve"> 2018</w:t>
            </w:r>
          </w:p>
        </w:tc>
      </w:tr>
    </w:tbl>
    <w:p w14:paraId="476A322C" w14:textId="77777777" w:rsidR="001E4320" w:rsidRPr="001E4320" w:rsidRDefault="001E4320" w:rsidP="004A2358">
      <w:pPr>
        <w:widowControl w:val="0"/>
        <w:spacing w:afterLines="60" w:after="144" w:line="240" w:lineRule="auto"/>
        <w:rPr>
          <w:szCs w:val="24"/>
        </w:rPr>
      </w:pPr>
      <w:r>
        <w:rPr>
          <w:szCs w:val="24"/>
        </w:rPr>
        <w:t xml:space="preserve">Meeting Time and Location: </w:t>
      </w:r>
      <w:r w:rsidR="00D56627">
        <w:rPr>
          <w:szCs w:val="24"/>
        </w:rPr>
        <w:t xml:space="preserve">MWF </w:t>
      </w:r>
      <w:r>
        <w:rPr>
          <w:szCs w:val="24"/>
        </w:rPr>
        <w:t xml:space="preserve">12:00-12:50 </w:t>
      </w:r>
      <w:r w:rsidRPr="001E4320">
        <w:rPr>
          <w:smallCaps/>
          <w:szCs w:val="24"/>
        </w:rPr>
        <w:t>pm</w:t>
      </w:r>
      <w:r>
        <w:rPr>
          <w:szCs w:val="24"/>
        </w:rPr>
        <w:t xml:space="preserve">                      room UCL 154</w:t>
      </w:r>
    </w:p>
    <w:p w14:paraId="5013978D" w14:textId="77777777" w:rsidR="00D56627" w:rsidRPr="00D56627" w:rsidRDefault="001E4320" w:rsidP="004A2358">
      <w:pPr>
        <w:pStyle w:val="Heading3"/>
        <w:widowControl w:val="0"/>
        <w:spacing w:before="0" w:beforeAutospacing="0" w:afterLines="60" w:after="144" w:afterAutospacing="0"/>
        <w:rPr>
          <w:rFonts w:asciiTheme="minorHAnsi" w:eastAsiaTheme="minorHAnsi" w:hAnsiTheme="minorHAnsi" w:cstheme="minorBidi"/>
          <w:b w:val="0"/>
          <w:bCs w:val="0"/>
          <w:sz w:val="24"/>
          <w:szCs w:val="24"/>
        </w:rPr>
      </w:pPr>
      <w:r w:rsidRPr="00D8121C">
        <w:rPr>
          <w:rFonts w:asciiTheme="minorHAnsi" w:eastAsiaTheme="minorHAnsi" w:hAnsiTheme="minorHAnsi" w:cstheme="minorBidi"/>
          <w:b w:val="0"/>
          <w:bCs w:val="0"/>
          <w:sz w:val="24"/>
          <w:szCs w:val="24"/>
        </w:rPr>
        <w:t xml:space="preserve">Course Description: </w:t>
      </w:r>
      <w:r w:rsidR="00D56627" w:rsidRPr="00D56627">
        <w:rPr>
          <w:rFonts w:asciiTheme="minorHAnsi" w:eastAsiaTheme="minorHAnsi" w:hAnsiTheme="minorHAnsi" w:cstheme="minorBidi"/>
          <w:b w:val="0"/>
          <w:bCs w:val="0"/>
          <w:sz w:val="24"/>
          <w:szCs w:val="24"/>
        </w:rPr>
        <w:t>BIOL 426: An advanced course on hormone function, including anatomy, endocrine glands,</w:t>
      </w:r>
      <w:r w:rsidR="00D56627">
        <w:rPr>
          <w:rFonts w:asciiTheme="minorHAnsi" w:eastAsiaTheme="minorHAnsi" w:hAnsiTheme="minorHAnsi" w:cstheme="minorBidi"/>
          <w:b w:val="0"/>
          <w:bCs w:val="0"/>
          <w:sz w:val="24"/>
          <w:szCs w:val="24"/>
        </w:rPr>
        <w:t xml:space="preserve"> </w:t>
      </w:r>
      <w:r w:rsidR="00D56627" w:rsidRPr="00D56627">
        <w:rPr>
          <w:rFonts w:asciiTheme="minorHAnsi" w:eastAsiaTheme="minorHAnsi" w:hAnsiTheme="minorHAnsi" w:cstheme="minorBidi"/>
          <w:b w:val="0"/>
          <w:bCs w:val="0"/>
          <w:sz w:val="24"/>
          <w:szCs w:val="24"/>
        </w:rPr>
        <w:t>endocrine systems and functions, homeostasis, neuroendocrinology, endocrine axes and cascades,</w:t>
      </w:r>
      <w:r w:rsidR="00D56627">
        <w:rPr>
          <w:rFonts w:asciiTheme="minorHAnsi" w:eastAsiaTheme="minorHAnsi" w:hAnsiTheme="minorHAnsi" w:cstheme="minorBidi"/>
          <w:b w:val="0"/>
          <w:bCs w:val="0"/>
          <w:sz w:val="24"/>
          <w:szCs w:val="24"/>
        </w:rPr>
        <w:t xml:space="preserve"> </w:t>
      </w:r>
      <w:r w:rsidR="00D56627" w:rsidRPr="00D56627">
        <w:rPr>
          <w:rFonts w:asciiTheme="minorHAnsi" w:eastAsiaTheme="minorHAnsi" w:hAnsiTheme="minorHAnsi" w:cstheme="minorBidi"/>
          <w:b w:val="0"/>
          <w:bCs w:val="0"/>
          <w:sz w:val="24"/>
          <w:szCs w:val="24"/>
        </w:rPr>
        <w:t>hormones, receptors, 2nd messenger systems, hormone X gene interactions, interactions of hormones and the brain, and the evolution of endocrine systems. The course focuses on biological significance and mechanism of action of hormones involving the endocrine and nervous systems.</w:t>
      </w:r>
    </w:p>
    <w:p w14:paraId="1AA9E6B3" w14:textId="77777777" w:rsidR="001E4320" w:rsidRPr="00D8121C" w:rsidRDefault="001E4320" w:rsidP="004A2358">
      <w:pPr>
        <w:pStyle w:val="Heading3"/>
        <w:widowControl w:val="0"/>
        <w:spacing w:before="0" w:beforeAutospacing="0" w:afterLines="60" w:after="144" w:afterAutospacing="0"/>
        <w:rPr>
          <w:rFonts w:asciiTheme="minorHAnsi" w:eastAsiaTheme="minorHAnsi" w:hAnsiTheme="minorHAnsi" w:cstheme="minorBidi"/>
          <w:b w:val="0"/>
          <w:bCs w:val="0"/>
          <w:sz w:val="24"/>
          <w:szCs w:val="24"/>
        </w:rPr>
      </w:pPr>
      <w:r w:rsidRPr="00D8121C">
        <w:rPr>
          <w:rFonts w:asciiTheme="minorHAnsi" w:eastAsiaTheme="minorHAnsi" w:hAnsiTheme="minorHAnsi" w:cstheme="minorBidi"/>
          <w:b w:val="0"/>
          <w:bCs w:val="0"/>
          <w:sz w:val="24"/>
          <w:szCs w:val="24"/>
        </w:rPr>
        <w:t xml:space="preserve">Course Prerequisites: one of the following:  BIOL 430 Neurobiology, BIOL 428 Comparative Physiology,  BIOL 456 Mammalian Physiology, </w:t>
      </w:r>
      <w:r w:rsidR="00D8121C" w:rsidRPr="00D8121C">
        <w:rPr>
          <w:rFonts w:asciiTheme="minorHAnsi" w:eastAsiaTheme="minorHAnsi" w:hAnsiTheme="minorHAnsi" w:cstheme="minorBidi"/>
          <w:b w:val="0"/>
          <w:bCs w:val="0"/>
          <w:sz w:val="24"/>
          <w:szCs w:val="24"/>
        </w:rPr>
        <w:t>BIOC 430 B</w:t>
      </w:r>
      <w:r w:rsidRPr="00D8121C">
        <w:rPr>
          <w:rFonts w:asciiTheme="minorHAnsi" w:eastAsiaTheme="minorHAnsi" w:hAnsiTheme="minorHAnsi" w:cstheme="minorBidi"/>
          <w:b w:val="0"/>
          <w:bCs w:val="0"/>
          <w:sz w:val="24"/>
          <w:szCs w:val="24"/>
        </w:rPr>
        <w:t xml:space="preserve">iochemistry, </w:t>
      </w:r>
      <w:r w:rsidR="00D8121C" w:rsidRPr="00D8121C">
        <w:rPr>
          <w:rFonts w:asciiTheme="minorHAnsi" w:eastAsiaTheme="minorHAnsi" w:hAnsiTheme="minorHAnsi" w:cstheme="minorBidi"/>
          <w:b w:val="0"/>
          <w:bCs w:val="0"/>
          <w:sz w:val="24"/>
          <w:szCs w:val="24"/>
        </w:rPr>
        <w:t>BIOL 426 E</w:t>
      </w:r>
      <w:r w:rsidRPr="00D8121C">
        <w:rPr>
          <w:rFonts w:asciiTheme="minorHAnsi" w:eastAsiaTheme="minorHAnsi" w:hAnsiTheme="minorHAnsi" w:cstheme="minorBidi"/>
          <w:b w:val="0"/>
          <w:bCs w:val="0"/>
          <w:sz w:val="24"/>
          <w:szCs w:val="24"/>
        </w:rPr>
        <w:t>ndocrinology</w:t>
      </w:r>
      <w:r w:rsidR="00D8121C" w:rsidRPr="00D8121C">
        <w:rPr>
          <w:rFonts w:asciiTheme="minorHAnsi" w:eastAsiaTheme="minorHAnsi" w:hAnsiTheme="minorHAnsi" w:cstheme="minorBidi"/>
          <w:b w:val="0"/>
          <w:bCs w:val="0"/>
          <w:sz w:val="24"/>
          <w:szCs w:val="24"/>
        </w:rPr>
        <w:t xml:space="preserve"> -  All prerequisites must have a grade o</w:t>
      </w:r>
      <w:r w:rsidR="00D8121C">
        <w:rPr>
          <w:rFonts w:asciiTheme="minorHAnsi" w:eastAsiaTheme="minorHAnsi" w:hAnsiTheme="minorHAnsi" w:cstheme="minorBidi"/>
          <w:b w:val="0"/>
          <w:bCs w:val="0"/>
          <w:sz w:val="24"/>
          <w:szCs w:val="24"/>
        </w:rPr>
        <w:t>f</w:t>
      </w:r>
      <w:r w:rsidR="00D8121C" w:rsidRPr="00D8121C">
        <w:rPr>
          <w:rFonts w:asciiTheme="minorHAnsi" w:eastAsiaTheme="minorHAnsi" w:hAnsiTheme="minorHAnsi" w:cstheme="minorBidi"/>
          <w:b w:val="0"/>
          <w:bCs w:val="0"/>
          <w:sz w:val="24"/>
          <w:szCs w:val="24"/>
        </w:rPr>
        <w:t xml:space="preserve"> C or better </w:t>
      </w:r>
    </w:p>
    <w:p w14:paraId="030418C7" w14:textId="77777777" w:rsidR="001E4320" w:rsidRDefault="001E4320" w:rsidP="00D8121C">
      <w:pPr>
        <w:spacing w:line="240" w:lineRule="auto"/>
        <w:rPr>
          <w:rFonts w:eastAsia="Times New Roman"/>
          <w:szCs w:val="24"/>
        </w:rPr>
      </w:pPr>
      <w:r>
        <w:rPr>
          <w:rFonts w:eastAsia="Times New Roman"/>
          <w:szCs w:val="24"/>
        </w:rPr>
        <w:t>Description of Instructional Methods</w:t>
      </w:r>
      <w:r w:rsidR="00D8121C">
        <w:rPr>
          <w:rFonts w:eastAsia="Times New Roman"/>
          <w:szCs w:val="24"/>
        </w:rPr>
        <w:t xml:space="preserve">: </w:t>
      </w:r>
    </w:p>
    <w:p w14:paraId="4F37432A" w14:textId="69B0AE9C" w:rsidR="00E9491D" w:rsidRDefault="00E9491D" w:rsidP="00D56627">
      <w:pPr>
        <w:spacing w:line="240" w:lineRule="auto"/>
        <w:rPr>
          <w:rFonts w:eastAsia="Times New Roman"/>
          <w:szCs w:val="24"/>
        </w:rPr>
      </w:pPr>
      <w:r>
        <w:rPr>
          <w:rFonts w:eastAsia="Times New Roman"/>
          <w:szCs w:val="24"/>
        </w:rPr>
        <w:t xml:space="preserve">The course will consist of lectures and discussion on </w:t>
      </w:r>
      <w:r w:rsidR="00D56627">
        <w:rPr>
          <w:rFonts w:eastAsia="Times New Roman"/>
          <w:szCs w:val="24"/>
        </w:rPr>
        <w:t>Neuroendocrinology and Endocrinology</w:t>
      </w:r>
    </w:p>
    <w:tbl>
      <w:tblPr>
        <w:tblW w:w="4900" w:type="pct"/>
        <w:jc w:val="center"/>
        <w:tblCellSpacing w:w="15" w:type="dxa"/>
        <w:tblBorders>
          <w:top w:val="outset" w:sz="36" w:space="0" w:color="000099"/>
          <w:left w:val="outset" w:sz="36" w:space="0" w:color="000099"/>
          <w:bottom w:val="outset" w:sz="36" w:space="0" w:color="000099"/>
          <w:right w:val="outset" w:sz="36" w:space="0" w:color="000099"/>
        </w:tblBorders>
        <w:tblCellMar>
          <w:top w:w="15" w:type="dxa"/>
          <w:left w:w="15" w:type="dxa"/>
          <w:bottom w:w="15" w:type="dxa"/>
          <w:right w:w="15" w:type="dxa"/>
        </w:tblCellMar>
        <w:tblLook w:val="04A0" w:firstRow="1" w:lastRow="0" w:firstColumn="1" w:lastColumn="0" w:noHBand="0" w:noVBand="1"/>
      </w:tblPr>
      <w:tblGrid>
        <w:gridCol w:w="1125"/>
        <w:gridCol w:w="5315"/>
        <w:gridCol w:w="2717"/>
      </w:tblGrid>
      <w:tr w:rsidR="00F2197E" w14:paraId="06F2C1A6"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40CAE61" w14:textId="77777777" w:rsidR="00F2197E" w:rsidRDefault="00F2197E">
            <w:pPr>
              <w:jc w:val="center"/>
              <w:rPr>
                <w:szCs w:val="24"/>
              </w:rPr>
            </w:pPr>
            <w:r>
              <w:rPr>
                <w:rFonts w:ascii="Garamond" w:hAnsi="Garamond"/>
                <w:b/>
                <w:bCs/>
                <w:sz w:val="27"/>
                <w:szCs w:val="27"/>
                <w:u w:val="single"/>
              </w:rPr>
              <w:t>Date</w:t>
            </w:r>
            <w:r>
              <w:rPr>
                <w:b/>
                <w:bCs/>
              </w:rPr>
              <w:t> </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58A8478" w14:textId="77777777" w:rsidR="00F2197E" w:rsidRDefault="00F2197E">
            <w:pPr>
              <w:jc w:val="center"/>
            </w:pPr>
            <w:r>
              <w:rPr>
                <w:rFonts w:ascii="Garamond" w:hAnsi="Garamond"/>
                <w:b/>
                <w:bCs/>
                <w:sz w:val="27"/>
                <w:szCs w:val="27"/>
                <w:u w:val="single"/>
              </w:rPr>
              <w:t>Topic</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E08E981" w14:textId="77777777" w:rsidR="00F2197E" w:rsidRDefault="00F2197E">
            <w:pPr>
              <w:jc w:val="center"/>
            </w:pPr>
            <w:r>
              <w:rPr>
                <w:rFonts w:ascii="Garamond" w:hAnsi="Garamond"/>
                <w:b/>
                <w:bCs/>
                <w:sz w:val="27"/>
                <w:szCs w:val="27"/>
                <w:u w:val="single"/>
              </w:rPr>
              <w:t>Reading</w:t>
            </w:r>
          </w:p>
        </w:tc>
      </w:tr>
      <w:tr w:rsidR="00F2197E" w14:paraId="72D5D0B8"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9FBB13B" w14:textId="77777777" w:rsidR="00F2197E" w:rsidRDefault="00F2197E">
            <w:pPr>
              <w:jc w:val="center"/>
            </w:pPr>
            <w:hyperlink r:id="rId11" w:history="1">
              <w:r>
                <w:rPr>
                  <w:rStyle w:val="Hyperlink"/>
                  <w:i/>
                  <w:iCs/>
                  <w:sz w:val="20"/>
                  <w:szCs w:val="20"/>
                </w:rPr>
                <w:t>Acronyms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7CAF98E" w14:textId="77777777" w:rsidR="00F2197E" w:rsidRDefault="00F2197E">
            <w:pPr>
              <w:jc w:val="center"/>
            </w:pPr>
            <w:r>
              <w:rPr>
                <w:i/>
                <w:iCs/>
                <w:sz w:val="15"/>
                <w:szCs w:val="15"/>
              </w:rPr>
              <w:t>text:</w:t>
            </w:r>
            <w:r>
              <w:rPr>
                <w:sz w:val="15"/>
                <w:szCs w:val="15"/>
              </w:rPr>
              <w:t> </w:t>
            </w:r>
            <w:r>
              <w:rPr>
                <w:b/>
                <w:bCs/>
                <w:sz w:val="15"/>
                <w:szCs w:val="15"/>
              </w:rPr>
              <w:t>Vertebrate Endocrinology</w:t>
            </w:r>
            <w:r>
              <w:rPr>
                <w:sz w:val="15"/>
                <w:szCs w:val="15"/>
              </w:rPr>
              <w:t> </w:t>
            </w:r>
            <w:r>
              <w:rPr>
                <w:i/>
                <w:iCs/>
                <w:sz w:val="15"/>
                <w:szCs w:val="15"/>
              </w:rPr>
              <w:t>5</w:t>
            </w:r>
            <w:r>
              <w:rPr>
                <w:i/>
                <w:iCs/>
                <w:sz w:val="15"/>
                <w:szCs w:val="15"/>
                <w:vertAlign w:val="superscript"/>
              </w:rPr>
              <w:t>th</w:t>
            </w:r>
            <w:r>
              <w:rPr>
                <w:i/>
                <w:iCs/>
                <w:sz w:val="15"/>
                <w:szCs w:val="15"/>
              </w:rPr>
              <w:t> Edition</w:t>
            </w:r>
            <w:r>
              <w:rPr>
                <w:sz w:val="15"/>
                <w:szCs w:val="15"/>
              </w:rPr>
              <w:t> by </w:t>
            </w:r>
            <w:r>
              <w:rPr>
                <w:b/>
                <w:bCs/>
                <w:sz w:val="15"/>
                <w:szCs w:val="15"/>
              </w:rPr>
              <w:t xml:space="preserve">D.O. Norris &amp; J.A. </w:t>
            </w:r>
            <w:proofErr w:type="spellStart"/>
            <w:r>
              <w:rPr>
                <w:b/>
                <w:bCs/>
                <w:sz w:val="15"/>
                <w:szCs w:val="15"/>
              </w:rPr>
              <w:t>Carr</w:t>
            </w:r>
            <w:proofErr w:type="spellEnd"/>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0D47D41" w14:textId="77777777" w:rsidR="00F2197E" w:rsidRDefault="00F2197E">
            <w:pPr>
              <w:jc w:val="center"/>
            </w:pPr>
            <w:hyperlink r:id="rId12" w:history="1">
              <w:r>
                <w:rPr>
                  <w:rStyle w:val="Hyperlink"/>
                  <w:i/>
                  <w:iCs/>
                  <w:sz w:val="20"/>
                  <w:szCs w:val="20"/>
                </w:rPr>
                <w:t>Abbreviations</w:t>
              </w:r>
            </w:hyperlink>
          </w:p>
        </w:tc>
      </w:tr>
      <w:tr w:rsidR="00F2197E" w14:paraId="6A239067"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FB52633"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3871B37"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12BD8A8" w14:textId="77777777" w:rsidR="00F2197E" w:rsidRDefault="00F2197E">
            <w:pPr>
              <w:rPr>
                <w:sz w:val="20"/>
                <w:szCs w:val="20"/>
              </w:rPr>
            </w:pPr>
          </w:p>
        </w:tc>
      </w:tr>
      <w:tr w:rsidR="00F2197E" w14:paraId="51C257F9"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7167A46B" w14:textId="77777777" w:rsidR="00F2197E" w:rsidRDefault="00F2197E">
            <w:pPr>
              <w:jc w:val="center"/>
              <w:rPr>
                <w:szCs w:val="24"/>
              </w:rPr>
            </w:pPr>
            <w:r>
              <w:t>Aug 26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01B9761" w14:textId="77777777" w:rsidR="00F2197E" w:rsidRDefault="00F2197E">
            <w:pPr>
              <w:jc w:val="center"/>
            </w:pPr>
            <w:hyperlink r:id="rId13" w:history="1">
              <w:r>
                <w:rPr>
                  <w:rStyle w:val="Hyperlink"/>
                </w:rPr>
                <w:t xml:space="preserve">Hormones, </w:t>
              </w:r>
              <w:proofErr w:type="spellStart"/>
              <w:r>
                <w:rPr>
                  <w:rStyle w:val="Hyperlink"/>
                </w:rPr>
                <w:t>Paracrines</w:t>
              </w:r>
              <w:proofErr w:type="spellEnd"/>
              <w:r>
                <w:rPr>
                  <w:rStyle w:val="Hyperlink"/>
                </w:rPr>
                <w:t xml:space="preserve">, </w:t>
              </w:r>
              <w:proofErr w:type="spellStart"/>
              <w:r>
                <w:rPr>
                  <w:rStyle w:val="Hyperlink"/>
                </w:rPr>
                <w:t>Autocrines</w:t>
              </w:r>
              <w:proofErr w:type="spellEnd"/>
              <w:r>
                <w:rPr>
                  <w:rStyle w:val="Hyperlink"/>
                </w:rPr>
                <w:t>...</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D8B3D7B" w14:textId="77777777" w:rsidR="00F2197E" w:rsidRDefault="00F2197E">
            <w:pPr>
              <w:jc w:val="center"/>
            </w:pPr>
            <w:r>
              <w:t>1-7, 30-45</w:t>
            </w:r>
          </w:p>
        </w:tc>
      </w:tr>
      <w:tr w:rsidR="00F2197E" w14:paraId="4B41064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7B5BF74" w14:textId="77777777" w:rsidR="00F2197E" w:rsidRDefault="00F2197E">
            <w:pPr>
              <w:jc w:val="center"/>
            </w:pPr>
            <w:r>
              <w:t>Aug 28-30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27E905F" w14:textId="77777777" w:rsidR="00F2197E" w:rsidRDefault="00F2197E">
            <w:pPr>
              <w:jc w:val="center"/>
            </w:pPr>
            <w:hyperlink r:id="rId14" w:history="1">
              <w:r>
                <w:rPr>
                  <w:rStyle w:val="Hyperlink"/>
                </w:rPr>
                <w:t>Glands &amp; Target Tissue</w:t>
              </w:r>
            </w:hyperlink>
            <w:r>
              <w:br/>
            </w:r>
            <w:hyperlink r:id="rId15" w:history="1">
              <w:r>
                <w:rPr>
                  <w:rStyle w:val="Hyperlink"/>
                </w:rPr>
                <w:t>Receptors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C754E13" w14:textId="77777777" w:rsidR="00F2197E" w:rsidRDefault="00F2197E">
            <w:pPr>
              <w:jc w:val="center"/>
            </w:pPr>
            <w:r>
              <w:t>7-12</w:t>
            </w:r>
            <w:r>
              <w:br/>
              <w:t>57-61</w:t>
            </w:r>
          </w:p>
        </w:tc>
      </w:tr>
      <w:tr w:rsidR="00F2197E" w14:paraId="1B794F0A"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89A6DF8"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77981F5"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B7B7D0F" w14:textId="77777777" w:rsidR="00F2197E" w:rsidRDefault="00F2197E">
            <w:pPr>
              <w:rPr>
                <w:sz w:val="20"/>
                <w:szCs w:val="20"/>
              </w:rPr>
            </w:pPr>
          </w:p>
        </w:tc>
      </w:tr>
      <w:tr w:rsidR="00F2197E" w14:paraId="1A7402B9"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7D9FB04" w14:textId="77777777" w:rsidR="00F2197E" w:rsidRDefault="00F2197E">
            <w:pPr>
              <w:jc w:val="center"/>
              <w:rPr>
                <w:szCs w:val="24"/>
              </w:rPr>
            </w:pPr>
            <w:r>
              <w:t>Sept 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07F8DC4" w14:textId="77777777" w:rsidR="00F2197E" w:rsidRDefault="00F2197E">
            <w:pPr>
              <w:jc w:val="center"/>
            </w:pPr>
            <w:hyperlink r:id="rId16" w:history="1">
              <w:r>
                <w:rPr>
                  <w:rStyle w:val="Hyperlink"/>
                </w:rPr>
                <w:t>Endocrine Homeostasis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86E4C5A" w14:textId="77777777" w:rsidR="00F2197E" w:rsidRDefault="00F2197E">
            <w:pPr>
              <w:jc w:val="center"/>
            </w:pPr>
            <w:r>
              <w:t>13-20</w:t>
            </w:r>
          </w:p>
        </w:tc>
      </w:tr>
      <w:tr w:rsidR="00F2197E" w14:paraId="64EB071E"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F992781" w14:textId="77777777" w:rsidR="00F2197E" w:rsidRDefault="00F2197E">
            <w:pPr>
              <w:jc w:val="center"/>
            </w:pPr>
            <w:r>
              <w:t>Sept 4 - 6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18D77D2" w14:textId="77777777" w:rsidR="00F2197E" w:rsidRDefault="00F2197E">
            <w:pPr>
              <w:jc w:val="center"/>
            </w:pPr>
            <w:hyperlink r:id="rId17" w:history="1">
              <w:r>
                <w:rPr>
                  <w:rStyle w:val="Hyperlink"/>
                </w:rPr>
                <w:t>Second Messenger Systems:</w:t>
              </w:r>
            </w:hyperlink>
            <w:r>
              <w:t> cAMP</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B3AAC27" w14:textId="77777777" w:rsidR="00F2197E" w:rsidRDefault="00F2197E">
            <w:pPr>
              <w:jc w:val="center"/>
            </w:pPr>
            <w:r>
              <w:t>61-72</w:t>
            </w:r>
          </w:p>
        </w:tc>
      </w:tr>
      <w:tr w:rsidR="00F2197E" w14:paraId="25030BD3"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77CF785" w14:textId="77777777" w:rsidR="00F2197E" w:rsidRDefault="00F2197E">
            <w:pPr>
              <w:jc w:val="center"/>
            </w:pPr>
            <w:r>
              <w:t>Sept 9 - 11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0307932" w14:textId="77777777" w:rsidR="00F2197E" w:rsidRDefault="00F2197E">
            <w:pPr>
              <w:jc w:val="center"/>
            </w:pPr>
            <w:hyperlink r:id="rId18" w:history="1">
              <w:r>
                <w:rPr>
                  <w:rStyle w:val="Hyperlink"/>
                </w:rPr>
                <w:t>2nd Messengers:</w:t>
              </w:r>
            </w:hyperlink>
            <w:r>
              <w:t xml:space="preserve"> Inositol Phosphate, </w:t>
            </w:r>
            <w:proofErr w:type="spellStart"/>
            <w:r>
              <w:t>JaK</w:t>
            </w:r>
            <w:proofErr w:type="spellEnd"/>
            <w:r>
              <w:t>/STAT</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EA61867" w14:textId="77777777" w:rsidR="00F2197E" w:rsidRDefault="00F2197E">
            <w:pPr>
              <w:jc w:val="center"/>
            </w:pPr>
            <w:r>
              <w:t>66-70</w:t>
            </w:r>
          </w:p>
        </w:tc>
      </w:tr>
      <w:tr w:rsidR="00F2197E" w14:paraId="265CB50B"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0E96ECE"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64C7D73"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F75697E" w14:textId="77777777" w:rsidR="00F2197E" w:rsidRDefault="00F2197E">
            <w:pPr>
              <w:rPr>
                <w:sz w:val="20"/>
                <w:szCs w:val="20"/>
              </w:rPr>
            </w:pPr>
          </w:p>
        </w:tc>
      </w:tr>
      <w:tr w:rsidR="00F2197E" w14:paraId="5C4C34DE"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D9A33E9" w14:textId="77777777" w:rsidR="00F2197E" w:rsidRDefault="00F2197E">
            <w:pPr>
              <w:jc w:val="center"/>
              <w:rPr>
                <w:szCs w:val="24"/>
              </w:rPr>
            </w:pPr>
            <w:r>
              <w:t>Sept 11 - 13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FC649B9" w14:textId="77777777" w:rsidR="00F2197E" w:rsidRDefault="00F2197E">
            <w:pPr>
              <w:jc w:val="center"/>
            </w:pPr>
            <w:hyperlink r:id="rId19" w:history="1">
              <w:r>
                <w:rPr>
                  <w:rStyle w:val="Hyperlink"/>
                </w:rPr>
                <w:t>2nd Messengers:</w:t>
              </w:r>
            </w:hyperlink>
            <w:r>
              <w:t> Map K</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50718B8" w14:textId="77777777" w:rsidR="00F2197E" w:rsidRDefault="00F2197E">
            <w:pPr>
              <w:jc w:val="center"/>
            </w:pPr>
            <w:r>
              <w:t>71-72</w:t>
            </w:r>
          </w:p>
        </w:tc>
      </w:tr>
      <w:tr w:rsidR="00F2197E" w14:paraId="0A59422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7295034F" w14:textId="77777777" w:rsidR="00F2197E" w:rsidRDefault="00F2197E">
            <w:pPr>
              <w:jc w:val="center"/>
            </w:pPr>
            <w:r>
              <w:t>Sept 13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9ACE5A8" w14:textId="77777777" w:rsidR="00F2197E" w:rsidRDefault="00F2197E">
            <w:pPr>
              <w:jc w:val="center"/>
            </w:pPr>
            <w:hyperlink r:id="rId20" w:history="1">
              <w:r>
                <w:rPr>
                  <w:rStyle w:val="Hyperlink"/>
                </w:rPr>
                <w:t>Mechanisms of Hormone Action via Nuclear Receptors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8F356E4" w14:textId="77777777" w:rsidR="00F2197E" w:rsidRDefault="00F2197E">
            <w:pPr>
              <w:jc w:val="center"/>
            </w:pPr>
            <w:r>
              <w:t>86-93</w:t>
            </w:r>
          </w:p>
        </w:tc>
      </w:tr>
      <w:tr w:rsidR="00F2197E" w14:paraId="0180A5CD"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D4B4CB3"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CCA3EE6"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25DBEF86" w14:textId="77777777" w:rsidR="00F2197E" w:rsidRDefault="00F2197E">
            <w:pPr>
              <w:rPr>
                <w:sz w:val="20"/>
                <w:szCs w:val="20"/>
              </w:rPr>
            </w:pPr>
          </w:p>
        </w:tc>
      </w:tr>
      <w:tr w:rsidR="00F2197E" w14:paraId="00AF54F8"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F654CD7" w14:textId="77777777" w:rsidR="00F2197E" w:rsidRDefault="00F2197E">
            <w:pPr>
              <w:jc w:val="center"/>
              <w:rPr>
                <w:szCs w:val="24"/>
              </w:rPr>
            </w:pPr>
            <w:r>
              <w:lastRenderedPageBreak/>
              <w:t>Sept 16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C41A3C2" w14:textId="77777777" w:rsidR="00F2197E" w:rsidRDefault="00F2197E">
            <w:pPr>
              <w:jc w:val="center"/>
            </w:pPr>
            <w:hyperlink r:id="rId21" w:history="1">
              <w:r>
                <w:rPr>
                  <w:rStyle w:val="Hyperlink"/>
                </w:rPr>
                <w:t>Genetic Regulation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D340BA3" w14:textId="77777777" w:rsidR="00F2197E" w:rsidRDefault="00F2197E">
            <w:pPr>
              <w:jc w:val="center"/>
            </w:pPr>
            <w:r>
              <w:t>86-93</w:t>
            </w:r>
          </w:p>
        </w:tc>
      </w:tr>
      <w:tr w:rsidR="00F2197E" w14:paraId="7CB3F92C"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15B5F2C" w14:textId="77777777" w:rsidR="00F2197E" w:rsidRDefault="00F2197E">
            <w:pPr>
              <w:jc w:val="center"/>
            </w:pPr>
            <w:r>
              <w:t>Sept 16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95EF3DB" w14:textId="77777777" w:rsidR="00F2197E" w:rsidRDefault="00F2197E">
            <w:pPr>
              <w:jc w:val="center"/>
            </w:pPr>
            <w:hyperlink r:id="rId22" w:history="1">
              <w:r>
                <w:rPr>
                  <w:rStyle w:val="Hyperlink"/>
                </w:rPr>
                <w:t>Hormone Synthesis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ABDC179" w14:textId="77777777" w:rsidR="00F2197E" w:rsidRDefault="00F2197E">
            <w:pPr>
              <w:jc w:val="center"/>
            </w:pPr>
            <w:r>
              <w:t>52-61</w:t>
            </w:r>
          </w:p>
        </w:tc>
      </w:tr>
      <w:tr w:rsidR="00F2197E" w14:paraId="17B39B88"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F6B125C" w14:textId="77777777" w:rsidR="00F2197E" w:rsidRDefault="00F2197E">
            <w:pPr>
              <w:jc w:val="center"/>
            </w:pPr>
            <w:r>
              <w:t>Sept 18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9AC132F" w14:textId="77777777" w:rsidR="00F2197E" w:rsidRDefault="00F2197E">
            <w:pPr>
              <w:jc w:val="center"/>
            </w:pPr>
            <w:hyperlink r:id="rId23" w:history="1">
              <w:r>
                <w:rPr>
                  <w:rStyle w:val="Hyperlink"/>
                </w:rPr>
                <w:t>Receptor Regulation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968E205" w14:textId="77777777" w:rsidR="00F2197E" w:rsidRDefault="00F2197E">
            <w:pPr>
              <w:jc w:val="center"/>
            </w:pPr>
            <w:r>
              <w:t>68-70</w:t>
            </w:r>
          </w:p>
        </w:tc>
      </w:tr>
      <w:tr w:rsidR="00F2197E" w14:paraId="7A03AE09"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0626F58" w14:textId="77777777" w:rsidR="00F2197E" w:rsidRDefault="00F2197E">
            <w:pPr>
              <w:jc w:val="center"/>
            </w:pPr>
            <w:r>
              <w:t>Sept 20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B5672FD" w14:textId="77777777" w:rsidR="00F2197E" w:rsidRDefault="00F2197E">
            <w:pPr>
              <w:jc w:val="center"/>
            </w:pPr>
            <w:hyperlink r:id="rId24" w:history="1">
              <w:r>
                <w:rPr>
                  <w:rStyle w:val="Hyperlink"/>
                </w:rPr>
                <w:t>Hypothalamus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E861C96" w14:textId="77777777" w:rsidR="00F2197E" w:rsidRDefault="00F2197E">
            <w:pPr>
              <w:jc w:val="center"/>
            </w:pPr>
            <w:r>
              <w:t>119-124, 135-139</w:t>
            </w:r>
            <w:r>
              <w:br/>
              <w:t>203-210</w:t>
            </w:r>
          </w:p>
        </w:tc>
      </w:tr>
      <w:tr w:rsidR="00F2197E" w14:paraId="0FC91026"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A387FBC"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48941DC"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0B08ACA" w14:textId="77777777" w:rsidR="00F2197E" w:rsidRDefault="00F2197E">
            <w:pPr>
              <w:rPr>
                <w:sz w:val="20"/>
                <w:szCs w:val="20"/>
              </w:rPr>
            </w:pPr>
          </w:p>
        </w:tc>
      </w:tr>
      <w:tr w:rsidR="00F2197E" w14:paraId="4231F0DF"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F7D2E17" w14:textId="77777777" w:rsidR="00F2197E" w:rsidRDefault="00F2197E">
            <w:pPr>
              <w:jc w:val="center"/>
              <w:rPr>
                <w:szCs w:val="24"/>
              </w:rPr>
            </w:pPr>
            <w:r>
              <w:t>Sept 23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05DF4BE" w14:textId="77777777" w:rsidR="00F2197E" w:rsidRDefault="00F2197E">
            <w:pPr>
              <w:jc w:val="center"/>
            </w:pPr>
            <w:hyperlink r:id="rId25" w:history="1">
              <w:r>
                <w:rPr>
                  <w:rStyle w:val="Hyperlink"/>
                </w:rPr>
                <w:t>Axes</w:t>
              </w:r>
            </w:hyperlink>
            <w:r>
              <w:t> </w:t>
            </w:r>
            <w:r>
              <w:rPr>
                <w:b/>
                <w:bCs/>
                <w:i/>
                <w:iCs/>
                <w:vertAlign w:val="superscript"/>
              </w:rPr>
              <w:t>&amp;</w:t>
            </w:r>
            <w:r>
              <w:t> </w:t>
            </w:r>
            <w:hyperlink r:id="rId26" w:history="1">
              <w:r>
                <w:rPr>
                  <w:rStyle w:val="Hyperlink"/>
                </w:rPr>
                <w:t>Adenohypophysis: Tropic Hormones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F83110C" w14:textId="77777777" w:rsidR="00F2197E" w:rsidRDefault="00F2197E">
            <w:pPr>
              <w:jc w:val="center"/>
            </w:pPr>
            <w:r>
              <w:t>107-119, 124-134</w:t>
            </w:r>
          </w:p>
        </w:tc>
      </w:tr>
      <w:tr w:rsidR="00F2197E" w14:paraId="3FA8667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0F269FD" w14:textId="77777777" w:rsidR="00F2197E" w:rsidRDefault="00F2197E">
            <w:pPr>
              <w:jc w:val="center"/>
            </w:pPr>
            <w:r>
              <w:t>Sept 25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ED8D39F" w14:textId="77777777" w:rsidR="00F2197E" w:rsidRDefault="00F2197E">
            <w:pPr>
              <w:jc w:val="center"/>
            </w:pPr>
            <w:hyperlink r:id="rId27" w:history="1">
              <w:r>
                <w:rPr>
                  <w:rStyle w:val="Hyperlink"/>
                </w:rPr>
                <w:t>Pars distalis: Tropic Hormones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F3B43E5" w14:textId="77777777" w:rsidR="00F2197E" w:rsidRDefault="00F2197E">
            <w:pPr>
              <w:jc w:val="center"/>
            </w:pPr>
            <w:r>
              <w:t>163-164, 187-203</w:t>
            </w:r>
          </w:p>
        </w:tc>
      </w:tr>
      <w:tr w:rsidR="00F2197E" w14:paraId="6302177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A6F6E2C" w14:textId="77777777" w:rsidR="00F2197E" w:rsidRDefault="00F2197E">
            <w:r>
              <w:rPr>
                <w:rStyle w:val="Strong"/>
              </w:rPr>
              <w:t>Sept 27</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FE25564" w14:textId="77777777" w:rsidR="00F2197E" w:rsidRDefault="00F2197E">
            <w:r>
              <w:rPr>
                <w:b/>
                <w:bCs/>
                <w:i/>
                <w:iCs/>
              </w:rPr>
              <w:t>Exam </w:t>
            </w:r>
            <w:r>
              <w:rPr>
                <w:b/>
                <w:bCs/>
                <w:i/>
                <w:iCs/>
                <w:vertAlign w:val="superscript"/>
              </w:rPr>
              <w:t>#</w:t>
            </w:r>
            <w:r>
              <w:rPr>
                <w:b/>
                <w:bCs/>
                <w:i/>
                <w:iCs/>
              </w:rPr>
              <w:t>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8F2BB24" w14:textId="77777777" w:rsidR="00F2197E" w:rsidRDefault="00F2197E"/>
        </w:tc>
      </w:tr>
      <w:tr w:rsidR="00F2197E" w14:paraId="4BF8F5DB"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24A08D7" w14:textId="77777777" w:rsidR="00F2197E" w:rsidRDefault="00F2197E">
            <w:pPr>
              <w:jc w:val="cente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D420230"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85ABC5B" w14:textId="77777777" w:rsidR="00F2197E" w:rsidRDefault="00F2197E">
            <w:pPr>
              <w:rPr>
                <w:sz w:val="20"/>
                <w:szCs w:val="20"/>
              </w:rPr>
            </w:pPr>
          </w:p>
        </w:tc>
      </w:tr>
      <w:tr w:rsidR="00F2197E" w14:paraId="6B49F22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8FCA3B5" w14:textId="77777777" w:rsidR="00F2197E" w:rsidRDefault="00F2197E">
            <w:pPr>
              <w:jc w:val="center"/>
              <w:rPr>
                <w:szCs w:val="24"/>
              </w:rPr>
            </w:pPr>
            <w:r>
              <w:t>Sept 30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F2125BA" w14:textId="77777777" w:rsidR="00F2197E" w:rsidRDefault="00F2197E">
            <w:pPr>
              <w:jc w:val="center"/>
            </w:pPr>
            <w:hyperlink r:id="rId28" w:history="1">
              <w:r>
                <w:rPr>
                  <w:rStyle w:val="Hyperlink"/>
                </w:rPr>
                <w:t>Neurohypophysis: Vasopressin and Oxytocin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5B13BA5" w14:textId="77777777" w:rsidR="00F2197E" w:rsidRDefault="00F2197E">
            <w:pPr>
              <w:jc w:val="center"/>
            </w:pPr>
            <w:r>
              <w:t xml:space="preserve">133-137 </w:t>
            </w:r>
            <w:r>
              <w:br/>
              <w:t>192-196</w:t>
            </w:r>
          </w:p>
        </w:tc>
      </w:tr>
      <w:tr w:rsidR="00F2197E" w14:paraId="3C64481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0EDB610B" w14:textId="77777777" w:rsidR="00F2197E" w:rsidRDefault="00F2197E">
            <w:pPr>
              <w:jc w:val="center"/>
            </w:pPr>
            <w:r>
              <w:t>Oct 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126902E" w14:textId="77777777" w:rsidR="00F2197E" w:rsidRDefault="00F2197E">
            <w:pPr>
              <w:jc w:val="center"/>
            </w:pPr>
            <w:hyperlink r:id="rId29" w:history="1">
              <w:r>
                <w:rPr>
                  <w:rStyle w:val="Hyperlink"/>
                </w:rPr>
                <w:t>Thyroid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F75FC7F" w14:textId="77777777" w:rsidR="00F2197E" w:rsidRDefault="00F2197E">
            <w:pPr>
              <w:jc w:val="center"/>
            </w:pPr>
            <w:r>
              <w:t>207-229</w:t>
            </w:r>
          </w:p>
        </w:tc>
      </w:tr>
      <w:tr w:rsidR="00F2197E" w14:paraId="68EADCF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E2D62EE" w14:textId="77777777" w:rsidR="00F2197E" w:rsidRDefault="00F2197E">
            <w:pPr>
              <w:jc w:val="center"/>
            </w:pPr>
            <w:r>
              <w:t>Oct 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E392B7C" w14:textId="77777777" w:rsidR="00F2197E" w:rsidRDefault="00F2197E">
            <w:pPr>
              <w:jc w:val="center"/>
            </w:pPr>
            <w:hyperlink r:id="rId30" w:history="1">
              <w:r>
                <w:rPr>
                  <w:rStyle w:val="Hyperlink"/>
                </w:rPr>
                <w:t>Thyroid Hormones and Function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2462AF5" w14:textId="77777777" w:rsidR="00F2197E" w:rsidRDefault="00F2197E">
            <w:pPr>
              <w:jc w:val="center"/>
            </w:pPr>
            <w:r>
              <w:t>207-229</w:t>
            </w:r>
          </w:p>
        </w:tc>
      </w:tr>
      <w:tr w:rsidR="00F2197E" w14:paraId="48B0EBDB"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52B88AF"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22767B5"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CC26530" w14:textId="77777777" w:rsidR="00F2197E" w:rsidRDefault="00F2197E">
            <w:pPr>
              <w:rPr>
                <w:sz w:val="20"/>
                <w:szCs w:val="20"/>
              </w:rPr>
            </w:pPr>
          </w:p>
        </w:tc>
      </w:tr>
      <w:tr w:rsidR="00F2197E" w14:paraId="604D6D61"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6550F7E" w14:textId="77777777" w:rsidR="00F2197E" w:rsidRDefault="00F2197E">
            <w:pPr>
              <w:jc w:val="center"/>
              <w:rPr>
                <w:szCs w:val="24"/>
              </w:rPr>
            </w:pPr>
            <w:r>
              <w:t>Oct 7</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84033EF" w14:textId="77777777" w:rsidR="00F2197E" w:rsidRDefault="00F2197E">
            <w:pPr>
              <w:jc w:val="center"/>
            </w:pPr>
            <w:hyperlink r:id="rId31" w:history="1">
              <w:r>
                <w:rPr>
                  <w:rStyle w:val="Hyperlink"/>
                </w:rPr>
                <w:t>Steroid Biosynthesis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2152586" w14:textId="77777777" w:rsidR="00F2197E" w:rsidRDefault="00F2197E">
            <w:pPr>
              <w:jc w:val="center"/>
            </w:pPr>
            <w:r>
              <w:t>61-80</w:t>
            </w:r>
          </w:p>
        </w:tc>
      </w:tr>
      <w:tr w:rsidR="00F2197E" w14:paraId="5649708B"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56A0B11" w14:textId="77777777" w:rsidR="00F2197E" w:rsidRDefault="00F2197E">
            <w:pPr>
              <w:jc w:val="center"/>
            </w:pPr>
            <w:r>
              <w:t>Oct 9</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0374313" w14:textId="77777777" w:rsidR="00F2197E" w:rsidRDefault="00F2197E">
            <w:pPr>
              <w:jc w:val="center"/>
            </w:pPr>
            <w:hyperlink r:id="rId32" w:history="1">
              <w:r>
                <w:rPr>
                  <w:rStyle w:val="Hyperlink"/>
                </w:rPr>
                <w:t>Steroids:</w:t>
              </w:r>
            </w:hyperlink>
            <w:r>
              <w:t> Progestogens &amp; Androgens</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314F6B7" w14:textId="77777777" w:rsidR="00F2197E" w:rsidRDefault="00F2197E">
            <w:pPr>
              <w:jc w:val="center"/>
            </w:pPr>
            <w:r>
              <w:t>61-80</w:t>
            </w:r>
          </w:p>
        </w:tc>
      </w:tr>
      <w:tr w:rsidR="00F2197E" w14:paraId="711C1C19"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A6F68D3" w14:textId="77777777" w:rsidR="00F2197E" w:rsidRDefault="00F2197E">
            <w:pPr>
              <w:jc w:val="center"/>
            </w:pPr>
            <w:r>
              <w:t>Oct 11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F155FCF" w14:textId="77777777" w:rsidR="00F2197E" w:rsidRDefault="00F2197E">
            <w:pPr>
              <w:jc w:val="center"/>
            </w:pPr>
            <w:hyperlink r:id="rId33" w:history="1">
              <w:r>
                <w:rPr>
                  <w:rStyle w:val="Hyperlink"/>
                </w:rPr>
                <w:t>Steroids:</w:t>
              </w:r>
            </w:hyperlink>
            <w:r>
              <w:t> Estrogens</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2097D62" w14:textId="77777777" w:rsidR="00F2197E" w:rsidRDefault="00F2197E">
            <w:pPr>
              <w:jc w:val="center"/>
            </w:pPr>
            <w:r>
              <w:t>61-80</w:t>
            </w:r>
          </w:p>
        </w:tc>
      </w:tr>
      <w:tr w:rsidR="00F2197E" w14:paraId="2C372F3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E6EE2E4"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F032FC0"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84BBA4F" w14:textId="77777777" w:rsidR="00F2197E" w:rsidRDefault="00F2197E">
            <w:pPr>
              <w:rPr>
                <w:sz w:val="20"/>
                <w:szCs w:val="20"/>
              </w:rPr>
            </w:pPr>
          </w:p>
        </w:tc>
      </w:tr>
      <w:tr w:rsidR="00F2197E" w14:paraId="4D5E1A29"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C1ADB2B" w14:textId="77777777" w:rsidR="00F2197E" w:rsidRDefault="00F2197E">
            <w:pPr>
              <w:jc w:val="center"/>
              <w:rPr>
                <w:szCs w:val="24"/>
              </w:rPr>
            </w:pPr>
            <w:r>
              <w:t>Oct 16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D56F570" w14:textId="77777777" w:rsidR="00F2197E" w:rsidRDefault="00F2197E">
            <w:pPr>
              <w:jc w:val="center"/>
            </w:pPr>
            <w:hyperlink r:id="rId34" w:history="1">
              <w:r>
                <w:rPr>
                  <w:rStyle w:val="Hyperlink"/>
                </w:rPr>
                <w:t>Steroids:</w:t>
              </w:r>
            </w:hyperlink>
            <w:r>
              <w:t> Corticosteroids</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C1283FB" w14:textId="77777777" w:rsidR="00F2197E" w:rsidRDefault="00F2197E">
            <w:pPr>
              <w:jc w:val="center"/>
            </w:pPr>
            <w:r>
              <w:t>61-80</w:t>
            </w:r>
          </w:p>
        </w:tc>
      </w:tr>
      <w:tr w:rsidR="00F2197E" w14:paraId="274A756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E1E78E7" w14:textId="77777777" w:rsidR="00F2197E" w:rsidRDefault="00F2197E">
            <w:pPr>
              <w:jc w:val="center"/>
            </w:pPr>
            <w:r>
              <w:rPr>
                <w:i/>
                <w:iCs/>
              </w:rPr>
              <w:t>Oct 18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210FFDF" w14:textId="77777777" w:rsidR="00F2197E" w:rsidRDefault="00F2197E">
            <w:pPr>
              <w:jc w:val="center"/>
            </w:pPr>
            <w:hyperlink r:id="rId35" w:history="1">
              <w:r>
                <w:rPr>
                  <w:rStyle w:val="Hyperlink"/>
                </w:rPr>
                <w:t>Adrenal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134F291" w14:textId="77777777" w:rsidR="00F2197E" w:rsidRDefault="00F2197E">
            <w:pPr>
              <w:jc w:val="center"/>
            </w:pPr>
            <w:r>
              <w:t>261-273, 280-284, 291-299</w:t>
            </w:r>
          </w:p>
        </w:tc>
      </w:tr>
      <w:tr w:rsidR="00F2197E" w14:paraId="76E8F15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E85AF66"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9A6DFDB"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1E69B84" w14:textId="77777777" w:rsidR="00F2197E" w:rsidRDefault="00F2197E">
            <w:pPr>
              <w:rPr>
                <w:sz w:val="20"/>
                <w:szCs w:val="20"/>
              </w:rPr>
            </w:pPr>
          </w:p>
        </w:tc>
      </w:tr>
      <w:tr w:rsidR="00F2197E" w14:paraId="10EEDEE8"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17E8C83" w14:textId="77777777" w:rsidR="00F2197E" w:rsidRDefault="00F2197E">
            <w:pPr>
              <w:jc w:val="center"/>
              <w:rPr>
                <w:szCs w:val="24"/>
              </w:rPr>
            </w:pPr>
            <w:r>
              <w:rPr>
                <w:i/>
                <w:iCs/>
              </w:rPr>
              <w:t>Oct 21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EE16092" w14:textId="77777777" w:rsidR="00F2197E" w:rsidRDefault="00F2197E">
            <w:pPr>
              <w:jc w:val="center"/>
            </w:pPr>
            <w:hyperlink r:id="rId36" w:history="1">
              <w:r>
                <w:rPr>
                  <w:rStyle w:val="Hyperlink"/>
                </w:rPr>
                <w:t>Adrenal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74298DB" w14:textId="77777777" w:rsidR="00F2197E" w:rsidRDefault="00F2197E">
            <w:pPr>
              <w:jc w:val="center"/>
            </w:pPr>
            <w:r>
              <w:t>261-273, 280-284, 291-299</w:t>
            </w:r>
          </w:p>
        </w:tc>
      </w:tr>
      <w:tr w:rsidR="00F2197E" w14:paraId="32E784D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36EA197D" w14:textId="77777777" w:rsidR="00F2197E" w:rsidRDefault="00F2197E">
            <w:pPr>
              <w:jc w:val="center"/>
            </w:pPr>
            <w:r>
              <w:rPr>
                <w:i/>
                <w:iCs/>
              </w:rPr>
              <w:t>Oct 23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DE09485" w14:textId="77777777" w:rsidR="00F2197E" w:rsidRDefault="00F2197E">
            <w:pPr>
              <w:jc w:val="center"/>
            </w:pPr>
            <w:hyperlink r:id="rId37" w:history="1">
              <w:r>
                <w:rPr>
                  <w:rStyle w:val="Hyperlink"/>
                </w:rPr>
                <w:t>Adrenal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BAE906D" w14:textId="77777777" w:rsidR="00F2197E" w:rsidRDefault="00F2197E">
            <w:pPr>
              <w:jc w:val="center"/>
            </w:pPr>
            <w:r>
              <w:t>261-273, 280-284, 291-299</w:t>
            </w:r>
          </w:p>
        </w:tc>
      </w:tr>
      <w:tr w:rsidR="00F2197E" w14:paraId="56D8DBA6"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76DFB40B" w14:textId="77777777" w:rsidR="00F2197E" w:rsidRDefault="00F2197E">
            <w:pPr>
              <w:jc w:val="center"/>
            </w:pPr>
            <w:r>
              <w:rPr>
                <w:i/>
                <w:iCs/>
              </w:rPr>
              <w:t>Oct 25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F0B13F0" w14:textId="77777777" w:rsidR="00F2197E" w:rsidRDefault="00F2197E">
            <w:pPr>
              <w:jc w:val="center"/>
            </w:pPr>
            <w:hyperlink r:id="rId38" w:history="1">
              <w:r>
                <w:rPr>
                  <w:rStyle w:val="Hyperlink"/>
                </w:rPr>
                <w:t>Adrenal Function: Chromaffin Tissue/Catecholamines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708C776" w14:textId="77777777" w:rsidR="00F2197E" w:rsidRDefault="00F2197E">
            <w:pPr>
              <w:jc w:val="center"/>
            </w:pPr>
            <w:r>
              <w:t>283-287</w:t>
            </w:r>
          </w:p>
        </w:tc>
      </w:tr>
      <w:tr w:rsidR="00F2197E" w14:paraId="4C40259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86F4AB7" w14:textId="77777777" w:rsidR="00F2197E" w:rsidRDefault="00F2197E">
            <w:pPr>
              <w:jc w:val="center"/>
            </w:pPr>
            <w:r>
              <w:rPr>
                <w:i/>
                <w:iCs/>
              </w:rPr>
              <w:t>Oct 25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0923F66" w14:textId="77777777" w:rsidR="00F2197E" w:rsidRDefault="00F2197E">
            <w:pPr>
              <w:jc w:val="center"/>
            </w:pPr>
            <w:hyperlink r:id="rId39" w:history="1">
              <w:r>
                <w:rPr>
                  <w:rStyle w:val="Hyperlink"/>
                </w:rPr>
                <w:t>Adrenal Function: Renin-Angiotensin-Aldosterone</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596FBA1" w14:textId="77777777" w:rsidR="00F2197E" w:rsidRDefault="00F2197E">
            <w:pPr>
              <w:jc w:val="center"/>
            </w:pPr>
            <w:r>
              <w:t>273-279</w:t>
            </w:r>
          </w:p>
        </w:tc>
      </w:tr>
      <w:tr w:rsidR="00F2197E" w14:paraId="1A6CC7D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3EE93A7"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2A3554C"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F0C001A" w14:textId="77777777" w:rsidR="00F2197E" w:rsidRDefault="00F2197E">
            <w:pPr>
              <w:rPr>
                <w:sz w:val="20"/>
                <w:szCs w:val="20"/>
              </w:rPr>
            </w:pPr>
          </w:p>
        </w:tc>
      </w:tr>
      <w:tr w:rsidR="00F2197E" w14:paraId="41D6EE9C"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A3AED73" w14:textId="77777777" w:rsidR="00F2197E" w:rsidRDefault="00F2197E">
            <w:pPr>
              <w:jc w:val="center"/>
              <w:rPr>
                <w:szCs w:val="24"/>
              </w:rPr>
            </w:pPr>
            <w:r>
              <w:t>Oct 28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1B44206" w14:textId="77777777" w:rsidR="00F2197E" w:rsidRDefault="00F2197E">
            <w:pPr>
              <w:jc w:val="center"/>
            </w:pPr>
            <w:hyperlink r:id="rId40" w:history="1">
              <w:r>
                <w:rPr>
                  <w:rStyle w:val="Hyperlink"/>
                </w:rPr>
                <w:t>Gonadal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B55B394" w14:textId="77777777" w:rsidR="00F2197E" w:rsidRDefault="00F2197E">
            <w:pPr>
              <w:jc w:val="center"/>
            </w:pPr>
            <w:r>
              <w:t>317-434</w:t>
            </w:r>
          </w:p>
        </w:tc>
      </w:tr>
      <w:tr w:rsidR="00F2197E" w14:paraId="02661D6D"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D8CB933" w14:textId="77777777" w:rsidR="00F2197E" w:rsidRDefault="00F2197E">
            <w:pPr>
              <w:jc w:val="center"/>
            </w:pPr>
            <w:r>
              <w:t>Oct 30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AA9D442" w14:textId="77777777" w:rsidR="00F2197E" w:rsidRDefault="00F2197E">
            <w:pPr>
              <w:jc w:val="center"/>
            </w:pPr>
            <w:hyperlink r:id="rId41" w:history="1">
              <w:r>
                <w:rPr>
                  <w:rStyle w:val="Hyperlink"/>
                </w:rPr>
                <w:t>Gonadal Axis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040D632" w14:textId="77777777" w:rsidR="00F2197E" w:rsidRDefault="00F2197E">
            <w:pPr>
              <w:jc w:val="center"/>
            </w:pPr>
            <w:r>
              <w:t>317-370, 375-434</w:t>
            </w:r>
          </w:p>
        </w:tc>
      </w:tr>
      <w:tr w:rsidR="00F2197E" w14:paraId="1B650EC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2838962" w14:textId="77777777" w:rsidR="00F2197E" w:rsidRDefault="00F2197E">
            <w:r>
              <w:rPr>
                <w:rStyle w:val="Strong"/>
              </w:rPr>
              <w:lastRenderedPageBreak/>
              <w:t>Nov 1</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B3A4394" w14:textId="77777777" w:rsidR="00F2197E" w:rsidRDefault="00F2197E">
            <w:r>
              <w:rPr>
                <w:b/>
                <w:bCs/>
                <w:i/>
                <w:iCs/>
              </w:rPr>
              <w:t>Exam </w:t>
            </w:r>
            <w:r>
              <w:rPr>
                <w:b/>
                <w:bCs/>
                <w:i/>
                <w:iCs/>
                <w:vertAlign w:val="superscript"/>
              </w:rPr>
              <w:t>#</w:t>
            </w:r>
            <w:r>
              <w:rPr>
                <w:b/>
                <w:bCs/>
                <w:i/>
                <w:iCs/>
              </w:rPr>
              <w:t>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53F607A" w14:textId="77777777" w:rsidR="00F2197E" w:rsidRDefault="00F2197E"/>
        </w:tc>
      </w:tr>
      <w:tr w:rsidR="00F2197E" w14:paraId="3023375E"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EF39AEB" w14:textId="77777777" w:rsidR="00F2197E" w:rsidRDefault="00F2197E">
            <w:pPr>
              <w:jc w:val="cente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28AE192"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4FC5A5C" w14:textId="77777777" w:rsidR="00F2197E" w:rsidRDefault="00F2197E">
            <w:pPr>
              <w:rPr>
                <w:sz w:val="20"/>
                <w:szCs w:val="20"/>
              </w:rPr>
            </w:pPr>
          </w:p>
        </w:tc>
      </w:tr>
      <w:tr w:rsidR="00F2197E" w14:paraId="61AB332B"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20FD09D" w14:textId="77777777" w:rsidR="00F2197E" w:rsidRDefault="00F2197E">
            <w:pPr>
              <w:jc w:val="center"/>
              <w:rPr>
                <w:szCs w:val="24"/>
              </w:rPr>
            </w:pPr>
            <w:r>
              <w:t>Nov 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3C2EB1B" w14:textId="77777777" w:rsidR="00F2197E" w:rsidRDefault="00F2197E">
            <w:pPr>
              <w:jc w:val="center"/>
            </w:pPr>
            <w:hyperlink r:id="rId42" w:history="1">
              <w:r>
                <w:rPr>
                  <w:rStyle w:val="Hyperlink"/>
                </w:rPr>
                <w:t>Endocrinology of Reproduction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7C23D02" w14:textId="77777777" w:rsidR="00F2197E" w:rsidRDefault="00F2197E">
            <w:pPr>
              <w:jc w:val="center"/>
            </w:pPr>
            <w:r>
              <w:t>317-370, 375-434</w:t>
            </w:r>
          </w:p>
        </w:tc>
      </w:tr>
      <w:tr w:rsidR="00F2197E" w14:paraId="4CBA820B"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7FD6D05C" w14:textId="77777777" w:rsidR="00F2197E" w:rsidRDefault="00F2197E">
            <w:pPr>
              <w:jc w:val="center"/>
            </w:pPr>
            <w:r>
              <w:t>Nov 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F044E28" w14:textId="77777777" w:rsidR="00F2197E" w:rsidRDefault="00F2197E">
            <w:pPr>
              <w:jc w:val="center"/>
            </w:pPr>
            <w:hyperlink r:id="rId43" w:history="1">
              <w:r>
                <w:rPr>
                  <w:rStyle w:val="Hyperlink"/>
                </w:rPr>
                <w:t xml:space="preserve">Prolactin and Growth Hormone Family: </w:t>
              </w:r>
              <w:proofErr w:type="spellStart"/>
              <w:r>
                <w:rPr>
                  <w:rStyle w:val="Hyperlink"/>
                </w:rPr>
                <w:t>PrL</w:t>
              </w:r>
              <w:proofErr w:type="spellEnd"/>
              <w:r>
                <w:rPr>
                  <w:rStyle w:val="Hyperlink"/>
                </w:rPr>
                <w:t> </w:t>
              </w:r>
            </w:hyperlink>
            <w:hyperlink r:id="rId44"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33754BD" w14:textId="77777777" w:rsidR="00F2197E" w:rsidRDefault="00F2197E">
            <w:pPr>
              <w:jc w:val="center"/>
            </w:pPr>
            <w:r>
              <w:t>112-115, 129-131, 175-176, 355-356</w:t>
            </w:r>
          </w:p>
        </w:tc>
      </w:tr>
      <w:tr w:rsidR="00F2197E" w14:paraId="24384E6C"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A1BC05B" w14:textId="77777777" w:rsidR="00F2197E" w:rsidRDefault="00F2197E">
            <w:pPr>
              <w:jc w:val="center"/>
            </w:pPr>
            <w:r>
              <w:t>Nov 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5AF2D2B" w14:textId="77777777" w:rsidR="00F2197E" w:rsidRDefault="00F2197E">
            <w:pPr>
              <w:jc w:val="center"/>
            </w:pPr>
            <w:hyperlink r:id="rId45" w:history="1">
              <w:r>
                <w:rPr>
                  <w:rStyle w:val="Hyperlink"/>
                </w:rPr>
                <w:t>Somatic Growth Axis</w:t>
              </w:r>
            </w:hyperlink>
            <w:r>
              <w:t> </w:t>
            </w:r>
            <w:hyperlink r:id="rId46"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C647063" w14:textId="77777777" w:rsidR="00F2197E" w:rsidRDefault="00F2197E">
            <w:pPr>
              <w:jc w:val="center"/>
            </w:pPr>
            <w:r>
              <w:t>130-131</w:t>
            </w:r>
          </w:p>
        </w:tc>
      </w:tr>
      <w:tr w:rsidR="00F2197E" w14:paraId="0FE33A46"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F255184"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75B4E4FB"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7C15B95" w14:textId="77777777" w:rsidR="00F2197E" w:rsidRDefault="00F2197E">
            <w:pPr>
              <w:rPr>
                <w:sz w:val="20"/>
                <w:szCs w:val="20"/>
              </w:rPr>
            </w:pPr>
          </w:p>
        </w:tc>
      </w:tr>
      <w:tr w:rsidR="00F2197E" w14:paraId="72C293E1"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B3F4C6D" w14:textId="77777777" w:rsidR="00F2197E" w:rsidRDefault="00F2197E">
            <w:pPr>
              <w:jc w:val="center"/>
              <w:rPr>
                <w:szCs w:val="24"/>
              </w:rPr>
            </w:pPr>
            <w:r>
              <w:t>Nov 13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6639F87" w14:textId="77777777" w:rsidR="00F2197E" w:rsidRDefault="00F2197E">
            <w:pPr>
              <w:jc w:val="center"/>
            </w:pPr>
            <w:hyperlink r:id="rId47" w:history="1">
              <w:r>
                <w:rPr>
                  <w:rStyle w:val="Hyperlink"/>
                </w:rPr>
                <w:t>Growth Factors</w:t>
              </w:r>
            </w:hyperlink>
            <w:r>
              <w:t> </w:t>
            </w:r>
            <w:hyperlink r:id="rId48"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6EBE526" w14:textId="77777777" w:rsidR="00F2197E" w:rsidRDefault="00F2197E">
            <w:pPr>
              <w:jc w:val="center"/>
            </w:pPr>
            <w:r>
              <w:t>143-145</w:t>
            </w:r>
          </w:p>
        </w:tc>
      </w:tr>
      <w:tr w:rsidR="00F2197E" w14:paraId="5119DF74"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2DB01DF8" w14:textId="77777777" w:rsidR="00F2197E" w:rsidRDefault="00F2197E">
            <w:pPr>
              <w:jc w:val="center"/>
            </w:pPr>
            <w:r>
              <w:t>Nov 15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87A770D" w14:textId="77777777" w:rsidR="00F2197E" w:rsidRDefault="00F2197E">
            <w:pPr>
              <w:jc w:val="center"/>
            </w:pPr>
            <w:hyperlink r:id="rId49" w:history="1">
              <w:r>
                <w:rPr>
                  <w:rStyle w:val="Hyperlink"/>
                </w:rPr>
                <w:t>Hormones of the Immune System</w:t>
              </w:r>
            </w:hyperlink>
            <w:r>
              <w:t> </w:t>
            </w:r>
            <w:hyperlink r:id="rId50"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D362442" w14:textId="77777777" w:rsidR="00F2197E" w:rsidRDefault="00F2197E">
            <w:pPr>
              <w:jc w:val="center"/>
            </w:pPr>
            <w:r>
              <w:t>101-102</w:t>
            </w:r>
          </w:p>
        </w:tc>
      </w:tr>
      <w:tr w:rsidR="00F2197E" w14:paraId="2E191EB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689E3922"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902BEF2"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19640B7B" w14:textId="77777777" w:rsidR="00F2197E" w:rsidRDefault="00F2197E">
            <w:pPr>
              <w:rPr>
                <w:sz w:val="20"/>
                <w:szCs w:val="20"/>
              </w:rPr>
            </w:pPr>
          </w:p>
        </w:tc>
      </w:tr>
      <w:tr w:rsidR="00F2197E" w14:paraId="16141CFF"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4BB17D6" w14:textId="77777777" w:rsidR="00F2197E" w:rsidRDefault="00F2197E">
            <w:pPr>
              <w:jc w:val="center"/>
              <w:rPr>
                <w:szCs w:val="24"/>
              </w:rPr>
            </w:pPr>
            <w:r>
              <w:t>Nov 18</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88E34AC" w14:textId="77777777" w:rsidR="00F2197E" w:rsidRDefault="00F2197E">
            <w:pPr>
              <w:jc w:val="center"/>
            </w:pPr>
            <w:hyperlink r:id="rId51" w:history="1">
              <w:r>
                <w:rPr>
                  <w:rStyle w:val="Hyperlink"/>
                </w:rPr>
                <w:t>Calcium and Phosphate Homeostasis</w:t>
              </w:r>
            </w:hyperlink>
            <w:r>
              <w:t> </w:t>
            </w:r>
            <w:hyperlink r:id="rId52" w:history="1">
              <w:r>
                <w:rPr>
                  <w:rStyle w:val="Hyperlink"/>
                </w:rPr>
                <w:t>video</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28792B6" w14:textId="77777777" w:rsidR="00F2197E" w:rsidRDefault="00F2197E">
            <w:pPr>
              <w:jc w:val="center"/>
            </w:pPr>
            <w:r>
              <w:t>487-511</w:t>
            </w:r>
          </w:p>
        </w:tc>
      </w:tr>
      <w:tr w:rsidR="00F2197E" w14:paraId="7A1A97E1"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CA9240D" w14:textId="77777777" w:rsidR="00F2197E" w:rsidRDefault="00F2197E">
            <w:pPr>
              <w:jc w:val="center"/>
            </w:pPr>
          </w:p>
        </w:tc>
        <w:tc>
          <w:tcPr>
            <w:tcW w:w="0" w:type="auto"/>
            <w:vAlign w:val="center"/>
            <w:hideMark/>
          </w:tcPr>
          <w:p w14:paraId="1FD8D028" w14:textId="77777777" w:rsidR="00F2197E" w:rsidRDefault="00F2197E">
            <w:pPr>
              <w:rPr>
                <w:sz w:val="20"/>
                <w:szCs w:val="20"/>
              </w:rPr>
            </w:pPr>
          </w:p>
        </w:tc>
        <w:tc>
          <w:tcPr>
            <w:tcW w:w="0" w:type="auto"/>
            <w:vAlign w:val="center"/>
            <w:hideMark/>
          </w:tcPr>
          <w:p w14:paraId="5BB6424E" w14:textId="77777777" w:rsidR="00F2197E" w:rsidRDefault="00F2197E">
            <w:pPr>
              <w:rPr>
                <w:sz w:val="20"/>
                <w:szCs w:val="20"/>
              </w:rPr>
            </w:pPr>
          </w:p>
        </w:tc>
      </w:tr>
      <w:tr w:rsidR="00F2197E" w14:paraId="0CCBFE6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9418201" w14:textId="77777777" w:rsidR="00F2197E" w:rsidRDefault="00F2197E">
            <w:pPr>
              <w:jc w:val="center"/>
              <w:rPr>
                <w:szCs w:val="24"/>
              </w:rPr>
            </w:pPr>
            <w:r>
              <w:t>Nov 20</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1255687" w14:textId="77777777" w:rsidR="00F2197E" w:rsidRDefault="00F2197E">
            <w:pPr>
              <w:jc w:val="center"/>
            </w:pPr>
            <w:hyperlink r:id="rId53" w:history="1">
              <w:r>
                <w:rPr>
                  <w:rStyle w:val="Hyperlink"/>
                </w:rPr>
                <w:t>Pancreatic Hormones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0753DAD" w14:textId="77777777" w:rsidR="00F2197E" w:rsidRDefault="00F2197E">
            <w:pPr>
              <w:jc w:val="center"/>
            </w:pPr>
            <w:r>
              <w:t>453-461, 475-484</w:t>
            </w:r>
          </w:p>
        </w:tc>
      </w:tr>
      <w:tr w:rsidR="00F2197E" w14:paraId="0167B1B6"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08EA6B44" w14:textId="77777777" w:rsidR="00F2197E" w:rsidRDefault="00F2197E">
            <w:pPr>
              <w:jc w:val="center"/>
            </w:pPr>
            <w:r>
              <w:t>Nov 22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421C0A2" w14:textId="77777777" w:rsidR="00F2197E" w:rsidRDefault="00F2197E">
            <w:pPr>
              <w:jc w:val="center"/>
            </w:pPr>
            <w:hyperlink r:id="rId54" w:history="1">
              <w:r>
                <w:rPr>
                  <w:rStyle w:val="Hyperlink"/>
                </w:rPr>
                <w:t>Pancreatic Hormones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3DE7D1C8" w14:textId="77777777" w:rsidR="00F2197E" w:rsidRDefault="00F2197E">
            <w:pPr>
              <w:jc w:val="center"/>
            </w:pPr>
            <w:r>
              <w:t>453-461, 475-484</w:t>
            </w:r>
          </w:p>
        </w:tc>
      </w:tr>
      <w:tr w:rsidR="00F2197E" w14:paraId="599217A1"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0219549C"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20CF8EB6"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55A29745" w14:textId="77777777" w:rsidR="00F2197E" w:rsidRDefault="00F2197E">
            <w:pPr>
              <w:rPr>
                <w:sz w:val="20"/>
                <w:szCs w:val="20"/>
              </w:rPr>
            </w:pPr>
          </w:p>
        </w:tc>
      </w:tr>
      <w:tr w:rsidR="00F2197E" w14:paraId="0007E041"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54A170AD" w14:textId="77777777" w:rsidR="00F2197E" w:rsidRDefault="00F2197E">
            <w:pPr>
              <w:rPr>
                <w:szCs w:val="24"/>
              </w:rPr>
            </w:pPr>
            <w:r>
              <w:rPr>
                <w:rStyle w:val="Strong"/>
              </w:rPr>
              <w:t>Nov 25</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506C79FC" w14:textId="77777777" w:rsidR="00F2197E" w:rsidRDefault="00F2197E">
            <w:r>
              <w:rPr>
                <w:b/>
                <w:bCs/>
                <w:i/>
                <w:iCs/>
              </w:rPr>
              <w:t>Exam </w:t>
            </w:r>
            <w:r>
              <w:rPr>
                <w:b/>
                <w:bCs/>
                <w:i/>
                <w:iCs/>
                <w:vertAlign w:val="superscript"/>
              </w:rPr>
              <w:t>#</w:t>
            </w:r>
            <w:r>
              <w:rPr>
                <w:b/>
                <w:bCs/>
                <w:i/>
                <w:iCs/>
              </w:rPr>
              <w:t>3</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C9089EB" w14:textId="77777777" w:rsidR="00F2197E" w:rsidRDefault="00F2197E"/>
        </w:tc>
      </w:tr>
      <w:tr w:rsidR="00F2197E" w14:paraId="3D321EE5"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932D609" w14:textId="77777777" w:rsidR="00F2197E" w:rsidRDefault="00F2197E">
            <w:pPr>
              <w:jc w:val="cente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E49E87E"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4690D5B" w14:textId="77777777" w:rsidR="00F2197E" w:rsidRDefault="00F2197E">
            <w:pPr>
              <w:rPr>
                <w:sz w:val="20"/>
                <w:szCs w:val="20"/>
              </w:rPr>
            </w:pPr>
          </w:p>
        </w:tc>
      </w:tr>
      <w:tr w:rsidR="00F2197E" w14:paraId="16DF9331"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6D811EE" w14:textId="77777777" w:rsidR="00F2197E" w:rsidRDefault="00F2197E">
            <w:pPr>
              <w:jc w:val="center"/>
              <w:rPr>
                <w:szCs w:val="24"/>
              </w:rPr>
            </w:pPr>
            <w:r>
              <w:t>Dec 2</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6A34B006" w14:textId="77777777" w:rsidR="00F2197E" w:rsidRDefault="00F2197E">
            <w:pPr>
              <w:jc w:val="center"/>
            </w:pPr>
            <w:hyperlink r:id="rId55" w:history="1">
              <w:r>
                <w:rPr>
                  <w:rStyle w:val="Hyperlink"/>
                </w:rPr>
                <w:t>Feeding &amp; Gastrointestinal Hormones</w:t>
              </w:r>
            </w:hyperlink>
            <w:r>
              <w:t>; </w:t>
            </w:r>
            <w:hyperlink r:id="rId56" w:history="1">
              <w:r>
                <w:rPr>
                  <w:rStyle w:val="Hyperlink"/>
                </w:rPr>
                <w:t>Guts and Brains</w:t>
              </w:r>
            </w:hyperlink>
            <w:r>
              <w:t> + </w:t>
            </w:r>
            <w:hyperlink r:id="rId57" w:history="1">
              <w:r>
                <w:rPr>
                  <w:rStyle w:val="Hyperlink"/>
                </w:rPr>
                <w:t>Melatonin</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251CAD9" w14:textId="77777777" w:rsidR="00F2197E" w:rsidRDefault="00F2197E">
            <w:pPr>
              <w:jc w:val="center"/>
            </w:pPr>
            <w:r>
              <w:t>154-163, 213-218, 427-485</w:t>
            </w:r>
          </w:p>
        </w:tc>
      </w:tr>
      <w:tr w:rsidR="00F2197E" w14:paraId="66182292"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1A1E86A9" w14:textId="77777777" w:rsidR="00F2197E" w:rsidRDefault="00F2197E">
            <w:pPr>
              <w:jc w:val="center"/>
            </w:pPr>
            <w:r>
              <w:t>Dec 4</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020D34B" w14:textId="77777777" w:rsidR="00F2197E" w:rsidRDefault="00F2197E">
            <w:pPr>
              <w:jc w:val="center"/>
            </w:pPr>
            <w:hyperlink r:id="rId58" w:history="1">
              <w:r>
                <w:rPr>
                  <w:rStyle w:val="Hyperlink"/>
                </w:rPr>
                <w:t xml:space="preserve">Hormones from the Brain: </w:t>
              </w:r>
              <w:proofErr w:type="spellStart"/>
              <w:r>
                <w:rPr>
                  <w:rStyle w:val="Hyperlink"/>
                </w:rPr>
                <w:t>Neurosteroids</w:t>
              </w:r>
              <w:proofErr w:type="spellEnd"/>
            </w:hyperlink>
            <w:r>
              <w:t> &amp; </w:t>
            </w:r>
            <w:hyperlink r:id="rId59" w:history="1">
              <w:r>
                <w:rPr>
                  <w:rStyle w:val="Hyperlink"/>
                </w:rPr>
                <w:t>Neuropeptides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2656AC2E" w14:textId="77777777" w:rsidR="00F2197E" w:rsidRDefault="00F2197E">
            <w:pPr>
              <w:jc w:val="center"/>
            </w:pPr>
            <w:r>
              <w:t>3-12</w:t>
            </w:r>
          </w:p>
        </w:tc>
      </w:tr>
      <w:tr w:rsidR="00F2197E" w14:paraId="40BDA0BC"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46F32E47" w14:textId="77777777" w:rsidR="00F2197E" w:rsidRDefault="00F2197E">
            <w:pPr>
              <w:jc w:val="center"/>
            </w:pPr>
            <w:r>
              <w:t>Dec 6</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7A434191" w14:textId="77777777" w:rsidR="00F2197E" w:rsidRDefault="00F2197E">
            <w:pPr>
              <w:jc w:val="center"/>
            </w:pPr>
            <w:hyperlink r:id="rId60" w:history="1">
              <w:r>
                <w:rPr>
                  <w:rStyle w:val="Hyperlink"/>
                </w:rPr>
                <w:t>Evolution of Endocrine Systems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01374779" w14:textId="77777777" w:rsidR="00F2197E" w:rsidRDefault="00F2197E">
            <w:pPr>
              <w:jc w:val="center"/>
            </w:pPr>
            <w:r>
              <w:t>20-27, 169-186</w:t>
            </w:r>
          </w:p>
        </w:tc>
      </w:tr>
      <w:tr w:rsidR="00F2197E" w14:paraId="76A99910"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5CC137B" w14:textId="77777777" w:rsidR="00F2197E" w:rsidRDefault="00F2197E">
            <w:pPr>
              <w:jc w:val="cente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41142A0E" w14:textId="77777777" w:rsidR="00F2197E" w:rsidRDefault="00F2197E">
            <w:pPr>
              <w:rPr>
                <w:sz w:val="20"/>
                <w:szCs w:val="20"/>
              </w:rPr>
            </w:pPr>
          </w:p>
        </w:tc>
        <w:tc>
          <w:tcPr>
            <w:tcW w:w="0" w:type="auto"/>
            <w:tcBorders>
              <w:top w:val="outset" w:sz="6" w:space="0" w:color="000099"/>
              <w:left w:val="outset" w:sz="6" w:space="0" w:color="000099"/>
              <w:bottom w:val="outset" w:sz="6" w:space="0" w:color="000099"/>
              <w:right w:val="outset" w:sz="6" w:space="0" w:color="000099"/>
            </w:tcBorders>
            <w:shd w:val="clear" w:color="auto" w:fill="000000"/>
            <w:vAlign w:val="center"/>
            <w:hideMark/>
          </w:tcPr>
          <w:p w14:paraId="3D9E22CB" w14:textId="77777777" w:rsidR="00F2197E" w:rsidRDefault="00F2197E">
            <w:pPr>
              <w:rPr>
                <w:sz w:val="20"/>
                <w:szCs w:val="20"/>
              </w:rPr>
            </w:pPr>
          </w:p>
        </w:tc>
      </w:tr>
      <w:tr w:rsidR="00F2197E" w14:paraId="3B622AF3" w14:textId="77777777" w:rsidTr="00F2197E">
        <w:trPr>
          <w:tblCellSpacing w:w="15" w:type="dxa"/>
          <w:jc w:val="center"/>
        </w:trPr>
        <w:tc>
          <w:tcPr>
            <w:tcW w:w="0" w:type="auto"/>
            <w:tcBorders>
              <w:top w:val="outset" w:sz="6" w:space="0" w:color="000099"/>
              <w:left w:val="outset" w:sz="6" w:space="0" w:color="000099"/>
              <w:bottom w:val="outset" w:sz="6" w:space="0" w:color="000099"/>
              <w:right w:val="outset" w:sz="6" w:space="0" w:color="000099"/>
            </w:tcBorders>
            <w:vAlign w:val="center"/>
            <w:hideMark/>
          </w:tcPr>
          <w:p w14:paraId="6361FA6A" w14:textId="77777777" w:rsidR="00F2197E" w:rsidRDefault="00F2197E">
            <w:pPr>
              <w:jc w:val="center"/>
              <w:rPr>
                <w:szCs w:val="24"/>
              </w:rPr>
            </w:pPr>
            <w:r>
              <w:t>Dec 9</w:t>
            </w:r>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40D09B3C" w14:textId="77777777" w:rsidR="00F2197E" w:rsidRDefault="00F2197E">
            <w:pPr>
              <w:jc w:val="center"/>
            </w:pPr>
            <w:hyperlink r:id="rId61" w:history="1">
              <w:r>
                <w:rPr>
                  <w:rStyle w:val="Hyperlink"/>
                </w:rPr>
                <w:t>Evolution of Endocrine Systems</w:t>
              </w:r>
            </w:hyperlink>
          </w:p>
        </w:tc>
        <w:tc>
          <w:tcPr>
            <w:tcW w:w="0" w:type="auto"/>
            <w:tcBorders>
              <w:top w:val="outset" w:sz="6" w:space="0" w:color="000099"/>
              <w:left w:val="outset" w:sz="6" w:space="0" w:color="000099"/>
              <w:bottom w:val="outset" w:sz="6" w:space="0" w:color="000099"/>
              <w:right w:val="outset" w:sz="6" w:space="0" w:color="000099"/>
            </w:tcBorders>
            <w:vAlign w:val="center"/>
            <w:hideMark/>
          </w:tcPr>
          <w:p w14:paraId="1DE027C3" w14:textId="77777777" w:rsidR="00F2197E" w:rsidRDefault="00F2197E">
            <w:pPr>
              <w:jc w:val="center"/>
            </w:pPr>
            <w:r>
              <w:t>20-27, 169-186</w:t>
            </w:r>
          </w:p>
        </w:tc>
      </w:tr>
    </w:tbl>
    <w:p w14:paraId="3A27844B" w14:textId="77777777" w:rsidR="00F2197E" w:rsidRPr="00D8121C" w:rsidRDefault="00F2197E" w:rsidP="00D56627">
      <w:pPr>
        <w:spacing w:line="240" w:lineRule="auto"/>
        <w:rPr>
          <w:rFonts w:eastAsia="Times New Roman"/>
          <w:szCs w:val="24"/>
        </w:rPr>
      </w:pPr>
    </w:p>
    <w:p w14:paraId="606741F4" w14:textId="77777777" w:rsidR="00D8121C" w:rsidRDefault="001E4320" w:rsidP="004A2358">
      <w:pPr>
        <w:spacing w:after="60" w:line="240" w:lineRule="auto"/>
        <w:rPr>
          <w:rFonts w:eastAsia="Times New Roman"/>
          <w:szCs w:val="24"/>
        </w:rPr>
      </w:pPr>
      <w:r>
        <w:rPr>
          <w:rFonts w:eastAsia="Times New Roman"/>
          <w:szCs w:val="24"/>
        </w:rPr>
        <w:t>Course Requirements</w:t>
      </w:r>
      <w:r w:rsidR="00D8121C">
        <w:rPr>
          <w:rFonts w:eastAsia="Times New Roman"/>
          <w:szCs w:val="24"/>
        </w:rPr>
        <w:t xml:space="preserve">: 3 </w:t>
      </w:r>
      <w:r w:rsidR="00D56627">
        <w:rPr>
          <w:rFonts w:eastAsia="Times New Roman"/>
          <w:szCs w:val="24"/>
        </w:rPr>
        <w:t>exams + 1 drawing</w:t>
      </w:r>
      <w:r w:rsidR="00D8121C">
        <w:rPr>
          <w:rFonts w:eastAsia="Times New Roman"/>
          <w:szCs w:val="24"/>
        </w:rPr>
        <w:t xml:space="preserve"> of </w:t>
      </w:r>
      <w:r w:rsidR="00D56627">
        <w:rPr>
          <w:rFonts w:eastAsia="Times New Roman"/>
          <w:szCs w:val="24"/>
        </w:rPr>
        <w:t xml:space="preserve">a </w:t>
      </w:r>
      <w:r w:rsidR="00D8121C">
        <w:rPr>
          <w:rFonts w:eastAsia="Times New Roman"/>
          <w:szCs w:val="24"/>
        </w:rPr>
        <w:t xml:space="preserve">complete </w:t>
      </w:r>
      <w:r w:rsidR="00D56627">
        <w:rPr>
          <w:rFonts w:eastAsia="Times New Roman"/>
          <w:szCs w:val="24"/>
        </w:rPr>
        <w:t>endocrine axis</w:t>
      </w:r>
    </w:p>
    <w:p w14:paraId="3F8FAC51" w14:textId="77777777" w:rsidR="001E4320" w:rsidRDefault="001E4320" w:rsidP="004A2358">
      <w:pPr>
        <w:spacing w:after="60" w:line="240" w:lineRule="auto"/>
        <w:ind w:left="360" w:hanging="360"/>
        <w:rPr>
          <w:rFonts w:eastAsia="Times New Roman"/>
          <w:szCs w:val="24"/>
        </w:rPr>
      </w:pPr>
      <w:r>
        <w:rPr>
          <w:rFonts w:eastAsia="Times New Roman"/>
          <w:szCs w:val="24"/>
        </w:rPr>
        <w:t>Course Goals</w:t>
      </w:r>
      <w:r w:rsidR="00A610EB">
        <w:rPr>
          <w:rFonts w:eastAsia="Times New Roman"/>
          <w:szCs w:val="24"/>
        </w:rPr>
        <w:t>: To produce integrative knowledge of the neuro</w:t>
      </w:r>
      <w:r w:rsidR="00577DD7">
        <w:rPr>
          <w:rFonts w:eastAsia="Times New Roman"/>
          <w:szCs w:val="24"/>
        </w:rPr>
        <w:t xml:space="preserve">endocrine </w:t>
      </w:r>
      <w:r w:rsidR="00D56627">
        <w:rPr>
          <w:rFonts w:eastAsia="Times New Roman"/>
          <w:szCs w:val="24"/>
        </w:rPr>
        <w:t xml:space="preserve">and endocrine </w:t>
      </w:r>
      <w:r w:rsidR="00A610EB">
        <w:rPr>
          <w:rFonts w:eastAsia="Times New Roman"/>
          <w:szCs w:val="24"/>
        </w:rPr>
        <w:t xml:space="preserve">anatomy, integrated </w:t>
      </w:r>
      <w:r w:rsidR="00D56627">
        <w:rPr>
          <w:rFonts w:eastAsia="Times New Roman"/>
          <w:szCs w:val="24"/>
        </w:rPr>
        <w:t>endocrine physiology</w:t>
      </w:r>
      <w:r w:rsidR="00A610EB">
        <w:rPr>
          <w:rFonts w:eastAsia="Times New Roman"/>
          <w:szCs w:val="24"/>
        </w:rPr>
        <w:t xml:space="preserve">, </w:t>
      </w:r>
      <w:r w:rsidR="00D56627">
        <w:rPr>
          <w:rFonts w:eastAsia="Times New Roman"/>
          <w:szCs w:val="24"/>
        </w:rPr>
        <w:t>receptor function</w:t>
      </w:r>
      <w:r w:rsidR="00A610EB">
        <w:rPr>
          <w:rFonts w:eastAsia="Times New Roman"/>
          <w:szCs w:val="24"/>
        </w:rPr>
        <w:t xml:space="preserve">, cell signaling, molecular biology, and </w:t>
      </w:r>
      <w:r w:rsidR="00D56627">
        <w:rPr>
          <w:rFonts w:eastAsia="Times New Roman"/>
          <w:szCs w:val="24"/>
        </w:rPr>
        <w:t>a complete and integrated anatomy, ordinal hormonal axis cascade</w:t>
      </w:r>
      <w:r w:rsidR="00577DD7">
        <w:rPr>
          <w:rFonts w:eastAsia="Times New Roman"/>
          <w:szCs w:val="24"/>
        </w:rPr>
        <w:t>s, intracellular second messenger cascades, cellular consequences, and feedback for an entire endocrine axis</w:t>
      </w:r>
    </w:p>
    <w:p w14:paraId="77B96968" w14:textId="77777777" w:rsidR="001E4320" w:rsidRDefault="001E4320" w:rsidP="00577DD7">
      <w:pPr>
        <w:keepNext/>
        <w:widowControl w:val="0"/>
        <w:spacing w:line="240" w:lineRule="auto"/>
        <w:rPr>
          <w:rFonts w:eastAsia="Times New Roman"/>
          <w:szCs w:val="24"/>
        </w:rPr>
      </w:pPr>
      <w:r>
        <w:rPr>
          <w:rFonts w:eastAsia="Times New Roman"/>
          <w:szCs w:val="24"/>
        </w:rPr>
        <w:t>Student Learning Outcomes</w:t>
      </w:r>
      <w:r w:rsidR="00DF518F">
        <w:rPr>
          <w:rFonts w:eastAsia="Times New Roman"/>
          <w:szCs w:val="24"/>
        </w:rPr>
        <w:t xml:space="preserve">: The students learn integrative </w:t>
      </w:r>
      <w:r w:rsidR="00577DD7">
        <w:rPr>
          <w:rFonts w:eastAsia="Times New Roman"/>
          <w:szCs w:val="24"/>
        </w:rPr>
        <w:t>endocrine physiology</w:t>
      </w:r>
      <w:r w:rsidR="00DF518F">
        <w:rPr>
          <w:rFonts w:eastAsia="Times New Roman"/>
          <w:szCs w:val="24"/>
        </w:rPr>
        <w:t>.</w:t>
      </w:r>
    </w:p>
    <w:p w14:paraId="1F0DA375" w14:textId="77777777" w:rsidR="00DF518F" w:rsidRDefault="00DF518F" w:rsidP="00577DD7">
      <w:pPr>
        <w:pStyle w:val="ListParagraph"/>
        <w:widowControl w:val="0"/>
        <w:numPr>
          <w:ilvl w:val="0"/>
          <w:numId w:val="6"/>
        </w:numPr>
        <w:spacing w:line="240" w:lineRule="auto"/>
        <w:rPr>
          <w:rFonts w:eastAsia="Times New Roman"/>
          <w:szCs w:val="24"/>
        </w:rPr>
      </w:pPr>
      <w:r>
        <w:rPr>
          <w:rFonts w:eastAsia="Times New Roman"/>
          <w:szCs w:val="24"/>
        </w:rPr>
        <w:t xml:space="preserve">To integrate information from lectures on </w:t>
      </w:r>
      <w:r w:rsidR="00577DD7">
        <w:rPr>
          <w:rFonts w:eastAsia="Times New Roman"/>
          <w:szCs w:val="24"/>
        </w:rPr>
        <w:t>neuroendocrine systems, neurosecretory</w:t>
      </w:r>
      <w:r>
        <w:rPr>
          <w:rFonts w:eastAsia="Times New Roman"/>
          <w:szCs w:val="24"/>
        </w:rPr>
        <w:t xml:space="preserve"> neurons, </w:t>
      </w:r>
      <w:r w:rsidR="00577DD7">
        <w:rPr>
          <w:rFonts w:eastAsia="Times New Roman"/>
          <w:szCs w:val="24"/>
        </w:rPr>
        <w:t>pituitary cells and tropic hormones</w:t>
      </w:r>
      <w:r>
        <w:rPr>
          <w:rFonts w:eastAsia="Times New Roman"/>
          <w:szCs w:val="24"/>
        </w:rPr>
        <w:t>,</w:t>
      </w:r>
      <w:r w:rsidR="00D32DBD">
        <w:rPr>
          <w:rFonts w:eastAsia="Times New Roman"/>
          <w:szCs w:val="24"/>
        </w:rPr>
        <w:t xml:space="preserve"> peripheral endocrine glands,</w:t>
      </w:r>
      <w:r>
        <w:rPr>
          <w:rFonts w:eastAsia="Times New Roman"/>
          <w:szCs w:val="24"/>
        </w:rPr>
        <w:t xml:space="preserve"> </w:t>
      </w:r>
      <w:r w:rsidR="00577DD7">
        <w:rPr>
          <w:rFonts w:eastAsia="Times New Roman"/>
          <w:szCs w:val="24"/>
        </w:rPr>
        <w:t xml:space="preserve">cell signaling </w:t>
      </w:r>
      <w:r w:rsidR="00577DD7">
        <w:rPr>
          <w:rFonts w:eastAsia="Times New Roman"/>
          <w:szCs w:val="24"/>
        </w:rPr>
        <w:lastRenderedPageBreak/>
        <w:t>– receptors, 2</w:t>
      </w:r>
      <w:r w:rsidR="00577DD7" w:rsidRPr="00577DD7">
        <w:rPr>
          <w:rFonts w:eastAsia="Times New Roman"/>
          <w:szCs w:val="24"/>
          <w:vertAlign w:val="superscript"/>
        </w:rPr>
        <w:t>nd</w:t>
      </w:r>
      <w:r w:rsidR="00577DD7">
        <w:rPr>
          <w:rFonts w:eastAsia="Times New Roman"/>
          <w:szCs w:val="24"/>
        </w:rPr>
        <w:t xml:space="preserve"> messengers, nuclear receptor binding and DNA activation</w:t>
      </w:r>
      <w:r>
        <w:rPr>
          <w:rFonts w:eastAsia="Times New Roman"/>
          <w:szCs w:val="24"/>
        </w:rPr>
        <w:t xml:space="preserve">, appropriate DNA – promoters, transcription factors, and genes, and molecular mechanisms that promote changes in </w:t>
      </w:r>
      <w:r w:rsidR="00577DD7">
        <w:rPr>
          <w:rFonts w:eastAsia="Times New Roman"/>
          <w:szCs w:val="24"/>
        </w:rPr>
        <w:t>endocrine action, endocrine physiology and responses</w:t>
      </w:r>
    </w:p>
    <w:p w14:paraId="69448FE6" w14:textId="77777777" w:rsidR="00DF518F" w:rsidRDefault="00DF518F" w:rsidP="00DF518F">
      <w:pPr>
        <w:pStyle w:val="ListParagraph"/>
        <w:numPr>
          <w:ilvl w:val="0"/>
          <w:numId w:val="6"/>
        </w:numPr>
        <w:spacing w:line="240" w:lineRule="auto"/>
        <w:rPr>
          <w:rFonts w:eastAsia="Times New Roman"/>
          <w:szCs w:val="24"/>
        </w:rPr>
      </w:pPr>
      <w:r>
        <w:rPr>
          <w:rFonts w:eastAsia="Times New Roman"/>
          <w:szCs w:val="24"/>
        </w:rPr>
        <w:t xml:space="preserve">To use that integrated information to produce a visual representation of </w:t>
      </w:r>
      <w:r w:rsidR="00577DD7">
        <w:rPr>
          <w:rFonts w:eastAsia="Times New Roman"/>
          <w:szCs w:val="24"/>
        </w:rPr>
        <w:t>an entire endocrine axis</w:t>
      </w:r>
    </w:p>
    <w:p w14:paraId="065166F1" w14:textId="77777777" w:rsidR="00DF518F" w:rsidRPr="00DF518F" w:rsidRDefault="00DF518F" w:rsidP="004A2358">
      <w:pPr>
        <w:pStyle w:val="ListParagraph"/>
        <w:numPr>
          <w:ilvl w:val="0"/>
          <w:numId w:val="6"/>
        </w:numPr>
        <w:spacing w:after="60" w:line="240" w:lineRule="auto"/>
        <w:rPr>
          <w:rFonts w:eastAsia="Times New Roman"/>
          <w:szCs w:val="24"/>
        </w:rPr>
      </w:pPr>
      <w:r>
        <w:rPr>
          <w:rFonts w:eastAsia="Times New Roman"/>
          <w:szCs w:val="24"/>
        </w:rPr>
        <w:t xml:space="preserve">To use that information to discuss specific matters of </w:t>
      </w:r>
      <w:r w:rsidR="00577DD7">
        <w:rPr>
          <w:rFonts w:eastAsia="Times New Roman"/>
          <w:szCs w:val="24"/>
        </w:rPr>
        <w:t>endocrine</w:t>
      </w:r>
      <w:r>
        <w:rPr>
          <w:rFonts w:eastAsia="Times New Roman"/>
          <w:szCs w:val="24"/>
        </w:rPr>
        <w:t xml:space="preserve"> function, molecular function, </w:t>
      </w:r>
      <w:r w:rsidR="00577DD7">
        <w:rPr>
          <w:rFonts w:eastAsia="Times New Roman"/>
          <w:szCs w:val="24"/>
        </w:rPr>
        <w:t>and integrated physiology, and to answer exam questions on these topics</w:t>
      </w:r>
    </w:p>
    <w:p w14:paraId="604980C5" w14:textId="77777777" w:rsidR="001E4320" w:rsidRDefault="001E4320" w:rsidP="00DF518F">
      <w:pPr>
        <w:spacing w:line="240" w:lineRule="auto"/>
        <w:ind w:left="360" w:hanging="360"/>
        <w:rPr>
          <w:rFonts w:eastAsia="Times New Roman"/>
          <w:szCs w:val="24"/>
        </w:rPr>
      </w:pPr>
      <w:r>
        <w:rPr>
          <w:rFonts w:eastAsia="Times New Roman"/>
          <w:szCs w:val="24"/>
        </w:rPr>
        <w:t>Evaluation Procedures</w:t>
      </w:r>
      <w:r w:rsidR="00DF518F">
        <w:rPr>
          <w:rFonts w:eastAsia="Times New Roman"/>
          <w:szCs w:val="24"/>
        </w:rPr>
        <w:t>: Each</w:t>
      </w:r>
      <w:r w:rsidR="00577DD7">
        <w:rPr>
          <w:rFonts w:eastAsia="Times New Roman"/>
          <w:szCs w:val="24"/>
        </w:rPr>
        <w:t xml:space="preserve"> exam and</w:t>
      </w:r>
      <w:r w:rsidR="00DF518F">
        <w:rPr>
          <w:rFonts w:eastAsia="Times New Roman"/>
          <w:szCs w:val="24"/>
        </w:rPr>
        <w:t xml:space="preserve"> drawing will be graded based on a rubric that includes detailed analysis of </w:t>
      </w:r>
    </w:p>
    <w:p w14:paraId="7EDDE732" w14:textId="77777777" w:rsidR="00DF518F" w:rsidRDefault="00577DD7" w:rsidP="00DF518F">
      <w:pPr>
        <w:pStyle w:val="ListParagraph"/>
        <w:numPr>
          <w:ilvl w:val="0"/>
          <w:numId w:val="5"/>
        </w:numPr>
        <w:spacing w:line="240" w:lineRule="auto"/>
        <w:rPr>
          <w:rFonts w:eastAsia="Times New Roman"/>
          <w:szCs w:val="24"/>
        </w:rPr>
      </w:pPr>
      <w:r>
        <w:rPr>
          <w:rFonts w:eastAsia="Times New Roman"/>
          <w:szCs w:val="24"/>
        </w:rPr>
        <w:t>Neuroendocrine</w:t>
      </w:r>
      <w:r w:rsidR="00DF518F">
        <w:rPr>
          <w:rFonts w:eastAsia="Times New Roman"/>
          <w:szCs w:val="24"/>
        </w:rPr>
        <w:t xml:space="preserve"> neurons, </w:t>
      </w:r>
      <w:r>
        <w:rPr>
          <w:rFonts w:eastAsia="Times New Roman"/>
          <w:szCs w:val="24"/>
        </w:rPr>
        <w:t>capillary beds and blood supply</w:t>
      </w:r>
      <w:r w:rsidR="00DF518F">
        <w:rPr>
          <w:rFonts w:eastAsia="Times New Roman"/>
          <w:szCs w:val="24"/>
        </w:rPr>
        <w:t xml:space="preserve">, </w:t>
      </w:r>
      <w:r w:rsidR="00D32DBD">
        <w:rPr>
          <w:rFonts w:eastAsia="Times New Roman"/>
          <w:szCs w:val="24"/>
        </w:rPr>
        <w:t xml:space="preserve">neurohormones, </w:t>
      </w:r>
      <w:r>
        <w:rPr>
          <w:rFonts w:eastAsia="Times New Roman"/>
          <w:szCs w:val="24"/>
        </w:rPr>
        <w:t>endocrine</w:t>
      </w:r>
      <w:r w:rsidR="00DF518F">
        <w:rPr>
          <w:rFonts w:eastAsia="Times New Roman"/>
          <w:szCs w:val="24"/>
        </w:rPr>
        <w:t xml:space="preserve"> receptor systems, 2</w:t>
      </w:r>
      <w:r w:rsidR="00DF518F" w:rsidRPr="00DF518F">
        <w:rPr>
          <w:rFonts w:eastAsia="Times New Roman"/>
          <w:szCs w:val="24"/>
          <w:vertAlign w:val="superscript"/>
        </w:rPr>
        <w:t>nd</w:t>
      </w:r>
      <w:r w:rsidR="00DF518F">
        <w:rPr>
          <w:rFonts w:eastAsia="Times New Roman"/>
          <w:szCs w:val="24"/>
        </w:rPr>
        <w:t xml:space="preserve"> messengers, appropriate DNA – promoters, transcription factors, and genes, and molecular mechanisms that promote changes in </w:t>
      </w:r>
      <w:r w:rsidR="00D32DBD">
        <w:rPr>
          <w:rFonts w:eastAsia="Times New Roman"/>
          <w:szCs w:val="24"/>
        </w:rPr>
        <w:t xml:space="preserve">tropic </w:t>
      </w:r>
      <w:r>
        <w:rPr>
          <w:rFonts w:eastAsia="Times New Roman"/>
          <w:szCs w:val="24"/>
        </w:rPr>
        <w:t>endocrine physiology and response</w:t>
      </w:r>
    </w:p>
    <w:p w14:paraId="21FB5D01" w14:textId="77777777" w:rsidR="00DF518F" w:rsidRDefault="00577DD7" w:rsidP="00DF518F">
      <w:pPr>
        <w:pStyle w:val="ListParagraph"/>
        <w:numPr>
          <w:ilvl w:val="0"/>
          <w:numId w:val="5"/>
        </w:numPr>
        <w:spacing w:line="240" w:lineRule="auto"/>
        <w:rPr>
          <w:rFonts w:eastAsia="Times New Roman"/>
          <w:szCs w:val="24"/>
        </w:rPr>
      </w:pPr>
      <w:r>
        <w:rPr>
          <w:rFonts w:eastAsia="Times New Roman"/>
          <w:szCs w:val="24"/>
        </w:rPr>
        <w:t>Pituitary trope cells</w:t>
      </w:r>
      <w:r w:rsidR="00DF518F">
        <w:rPr>
          <w:rFonts w:eastAsia="Times New Roman"/>
          <w:szCs w:val="24"/>
        </w:rPr>
        <w:t xml:space="preserve">, </w:t>
      </w:r>
      <w:r>
        <w:rPr>
          <w:rFonts w:eastAsia="Times New Roman"/>
          <w:szCs w:val="24"/>
        </w:rPr>
        <w:t>tropic hormone</w:t>
      </w:r>
      <w:r w:rsidR="00DF518F">
        <w:rPr>
          <w:rFonts w:eastAsia="Times New Roman"/>
          <w:szCs w:val="24"/>
        </w:rPr>
        <w:t xml:space="preserve"> receptor systems, 2</w:t>
      </w:r>
      <w:r w:rsidR="00DF518F" w:rsidRPr="00DF518F">
        <w:rPr>
          <w:rFonts w:eastAsia="Times New Roman"/>
          <w:szCs w:val="24"/>
          <w:vertAlign w:val="superscript"/>
        </w:rPr>
        <w:t>nd</w:t>
      </w:r>
      <w:r w:rsidR="00DF518F">
        <w:rPr>
          <w:rFonts w:eastAsia="Times New Roman"/>
          <w:szCs w:val="24"/>
        </w:rPr>
        <w:t xml:space="preserve"> messengers, appropriate DNA – promoters, transcription factors, and genes, and molecular mechanisms that promote changes in </w:t>
      </w:r>
      <w:r>
        <w:rPr>
          <w:rFonts w:eastAsia="Times New Roman"/>
          <w:szCs w:val="24"/>
        </w:rPr>
        <w:t>hormone release, endocrine physiology, and glandular respo</w:t>
      </w:r>
      <w:r w:rsidR="00D32DBD">
        <w:rPr>
          <w:rFonts w:eastAsia="Times New Roman"/>
          <w:szCs w:val="24"/>
        </w:rPr>
        <w:t>n</w:t>
      </w:r>
      <w:r>
        <w:rPr>
          <w:rFonts w:eastAsia="Times New Roman"/>
          <w:szCs w:val="24"/>
        </w:rPr>
        <w:t>ses</w:t>
      </w:r>
    </w:p>
    <w:p w14:paraId="432BC24F" w14:textId="77777777" w:rsidR="00DF518F" w:rsidRPr="00DF518F" w:rsidRDefault="00577DD7" w:rsidP="00DF518F">
      <w:pPr>
        <w:pStyle w:val="ListParagraph"/>
        <w:numPr>
          <w:ilvl w:val="0"/>
          <w:numId w:val="5"/>
        </w:numPr>
        <w:spacing w:line="240" w:lineRule="auto"/>
        <w:rPr>
          <w:rFonts w:eastAsia="Times New Roman"/>
          <w:szCs w:val="24"/>
        </w:rPr>
      </w:pPr>
      <w:r>
        <w:rPr>
          <w:rFonts w:eastAsia="Times New Roman"/>
          <w:szCs w:val="24"/>
        </w:rPr>
        <w:t>Peripheral endocrine glands</w:t>
      </w:r>
      <w:r w:rsidR="00DF518F">
        <w:rPr>
          <w:rFonts w:eastAsia="Times New Roman"/>
          <w:szCs w:val="24"/>
        </w:rPr>
        <w:t xml:space="preserve">, </w:t>
      </w:r>
      <w:r w:rsidR="00D32DBD">
        <w:rPr>
          <w:rFonts w:eastAsia="Times New Roman"/>
          <w:szCs w:val="24"/>
        </w:rPr>
        <w:t>hormones</w:t>
      </w:r>
      <w:r w:rsidR="00DF518F">
        <w:rPr>
          <w:rFonts w:eastAsia="Times New Roman"/>
          <w:szCs w:val="24"/>
        </w:rPr>
        <w:t>, receptor systems, 2</w:t>
      </w:r>
      <w:r w:rsidR="00DF518F" w:rsidRPr="00DF518F">
        <w:rPr>
          <w:rFonts w:eastAsia="Times New Roman"/>
          <w:szCs w:val="24"/>
          <w:vertAlign w:val="superscript"/>
        </w:rPr>
        <w:t>nd</w:t>
      </w:r>
      <w:r w:rsidR="00DF518F">
        <w:rPr>
          <w:rFonts w:eastAsia="Times New Roman"/>
          <w:szCs w:val="24"/>
        </w:rPr>
        <w:t xml:space="preserve"> messengers, appropriate DNA – promoters, transcription factors, and genes, and </w:t>
      </w:r>
      <w:r w:rsidR="00D32DBD">
        <w:rPr>
          <w:rFonts w:eastAsia="Times New Roman"/>
          <w:szCs w:val="24"/>
        </w:rPr>
        <w:t>feedback systems</w:t>
      </w:r>
      <w:r w:rsidR="00DF518F">
        <w:rPr>
          <w:rFonts w:eastAsia="Times New Roman"/>
          <w:szCs w:val="24"/>
        </w:rPr>
        <w:t xml:space="preserve"> changes in </w:t>
      </w:r>
      <w:r w:rsidR="00D32DBD">
        <w:rPr>
          <w:rFonts w:eastAsia="Times New Roman"/>
          <w:szCs w:val="24"/>
        </w:rPr>
        <w:t xml:space="preserve">hormonal response, </w:t>
      </w:r>
      <w:r w:rsidR="00DF518F">
        <w:rPr>
          <w:rFonts w:eastAsia="Times New Roman"/>
          <w:szCs w:val="24"/>
        </w:rPr>
        <w:t>behavior</w:t>
      </w:r>
      <w:r w:rsidR="00D32DBD">
        <w:rPr>
          <w:rFonts w:eastAsia="Times New Roman"/>
          <w:szCs w:val="24"/>
        </w:rPr>
        <w:t>, and endocrine physiology</w:t>
      </w:r>
    </w:p>
    <w:p w14:paraId="00CA2D77" w14:textId="77777777" w:rsidR="001E4320" w:rsidRDefault="00524FB3" w:rsidP="001E4320">
      <w:pPr>
        <w:rPr>
          <w:szCs w:val="24"/>
        </w:rPr>
      </w:pPr>
      <w:r>
        <w:rPr>
          <w:szCs w:val="24"/>
        </w:rPr>
        <w:t xml:space="preserve">Each </w:t>
      </w:r>
      <w:r w:rsidR="00577DD7">
        <w:rPr>
          <w:szCs w:val="24"/>
        </w:rPr>
        <w:t>exam and drawing</w:t>
      </w:r>
      <w:r>
        <w:rPr>
          <w:szCs w:val="24"/>
        </w:rPr>
        <w:t xml:space="preserve"> is worth 100 points</w:t>
      </w:r>
    </w:p>
    <w:p w14:paraId="673EDCC2" w14:textId="77777777" w:rsidR="00524FB3" w:rsidRDefault="00524FB3" w:rsidP="001E4320">
      <w:pPr>
        <w:rPr>
          <w:szCs w:val="24"/>
        </w:rPr>
      </w:pPr>
      <w:r>
        <w:rPr>
          <w:szCs w:val="24"/>
        </w:rPr>
        <w:t xml:space="preserve">The average of 3 </w:t>
      </w:r>
      <w:r w:rsidR="00577DD7">
        <w:rPr>
          <w:szCs w:val="24"/>
        </w:rPr>
        <w:t>exams plus 1 drawing</w:t>
      </w:r>
      <w:r>
        <w:rPr>
          <w:szCs w:val="24"/>
        </w:rPr>
        <w:t xml:space="preserve"> is your final score: </w:t>
      </w:r>
      <w:r>
        <w:rPr>
          <w:szCs w:val="24"/>
        </w:rPr>
        <w:tab/>
        <w:t>90% or greater = A</w:t>
      </w:r>
    </w:p>
    <w:p w14:paraId="71A7F6F6" w14:textId="7777777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80 – 89% = B</w:t>
      </w:r>
    </w:p>
    <w:p w14:paraId="53BA23AB" w14:textId="7777777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70 – 79% = C</w:t>
      </w:r>
    </w:p>
    <w:p w14:paraId="26F72AF8" w14:textId="7777777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60 – 69% = D</w:t>
      </w:r>
    </w:p>
    <w:p w14:paraId="73382962" w14:textId="05F1C6D7" w:rsidR="00524FB3" w:rsidRDefault="00524FB3" w:rsidP="001E4320">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577DD7">
        <w:rPr>
          <w:szCs w:val="24"/>
        </w:rPr>
        <w:tab/>
      </w:r>
      <w:r>
        <w:rPr>
          <w:szCs w:val="24"/>
        </w:rPr>
        <w:t>Below 60% = F</w:t>
      </w:r>
    </w:p>
    <w:p w14:paraId="4A05A79A" w14:textId="77777777" w:rsidR="00F2197E" w:rsidRPr="00424901" w:rsidRDefault="00F2197E" w:rsidP="00F2197E">
      <w:r w:rsidRPr="00424901">
        <w:rPr>
          <w:b/>
          <w:bCs/>
          <w:u w:val="single"/>
        </w:rPr>
        <w:t>Academic Integrity</w:t>
      </w:r>
    </w:p>
    <w:p w14:paraId="55FBA406" w14:textId="77777777" w:rsidR="00F2197E" w:rsidRPr="00424901" w:rsidRDefault="00F2197E" w:rsidP="004A2358">
      <w:pPr>
        <w:spacing w:after="60"/>
      </w:pPr>
      <w:r w:rsidRPr="00424901">
        <w:t>The College of Arts and Sciences considers plagiarism, cheating, and other forms of academic dishonesty inimical to the objectives of higher education.  The College supports the imposition of penalties on students who engage in academic dishonesty, as defined in the “Conduct” section of the University of South Dakota Student Handbook.</w:t>
      </w:r>
    </w:p>
    <w:p w14:paraId="2064F34B" w14:textId="77777777" w:rsidR="00F2197E" w:rsidRPr="00424901" w:rsidRDefault="00F2197E" w:rsidP="00F2197E">
      <w:r w:rsidRPr="00424901">
        <w:t>No credit can be given for a dishonest assignment. A student found to have engaged in any form of academic dishonesty may, at the discretion of the instructor, be:</w:t>
      </w:r>
    </w:p>
    <w:p w14:paraId="5BD63DF1" w14:textId="77777777" w:rsidR="00F2197E" w:rsidRPr="00424901" w:rsidRDefault="00F2197E" w:rsidP="00F2197E">
      <w:r w:rsidRPr="00424901">
        <w:t xml:space="preserve">    a.            Given a zero for that assignment.</w:t>
      </w:r>
    </w:p>
    <w:p w14:paraId="45131B25" w14:textId="77777777" w:rsidR="00F2197E" w:rsidRPr="00424901" w:rsidRDefault="00F2197E" w:rsidP="00F2197E">
      <w:r w:rsidRPr="00424901">
        <w:t xml:space="preserve">    b.            Allowed to rewrite and resubmit the assignment for credit.</w:t>
      </w:r>
    </w:p>
    <w:p w14:paraId="0905370E" w14:textId="77777777" w:rsidR="00F2197E" w:rsidRPr="00424901" w:rsidRDefault="00F2197E" w:rsidP="00F2197E">
      <w:r w:rsidRPr="00424901">
        <w:t xml:space="preserve">    c.             Assigned a reduced grade for the course.</w:t>
      </w:r>
    </w:p>
    <w:p w14:paraId="281DDB0B" w14:textId="77777777" w:rsidR="00F2197E" w:rsidRPr="00424901" w:rsidRDefault="00F2197E" w:rsidP="00F2197E">
      <w:r w:rsidRPr="00424901">
        <w:t xml:space="preserve">    d.            Dropped from the course.</w:t>
      </w:r>
    </w:p>
    <w:p w14:paraId="1C690F5D" w14:textId="77777777" w:rsidR="00F2197E" w:rsidRPr="00424901" w:rsidRDefault="00F2197E" w:rsidP="004A2358">
      <w:pPr>
        <w:spacing w:after="60"/>
      </w:pPr>
      <w:r w:rsidRPr="00424901">
        <w:t xml:space="preserve">    e.            Fail</w:t>
      </w:r>
      <w:bookmarkStart w:id="1" w:name="_GoBack"/>
      <w:bookmarkEnd w:id="1"/>
      <w:r w:rsidRPr="00424901">
        <w:t>ed in the course.</w:t>
      </w:r>
    </w:p>
    <w:p w14:paraId="77DC1621" w14:textId="5E70CD38" w:rsidR="00F2197E" w:rsidRPr="00424901" w:rsidRDefault="00F2197E" w:rsidP="00F2197E">
      <w:r w:rsidRPr="00424901">
        <w:t> </w:t>
      </w:r>
      <w:r w:rsidRPr="00424901">
        <w:rPr>
          <w:b/>
          <w:bCs/>
          <w:u w:val="single"/>
        </w:rPr>
        <w:t>Freedom in Learning</w:t>
      </w:r>
    </w:p>
    <w:p w14:paraId="5149E733" w14:textId="77777777" w:rsidR="00F2197E" w:rsidRPr="00424901" w:rsidRDefault="00F2197E" w:rsidP="00F2197E">
      <w:r w:rsidRPr="00424901">
        <w:t>Under Board of Regents and University policy</w:t>
      </w:r>
      <w:r>
        <w:t>,</w:t>
      </w:r>
      <w:r w:rsidRPr="00424901">
        <w:t xml:space="preserve"> student academic performance may be evaluated solely on an academic basis, not on opinions or conduct in matters unrelated to academic standards. Students should be free to take reasoned exception to the data or views </w:t>
      </w:r>
      <w:r w:rsidRPr="00424901">
        <w:lastRenderedPageBreak/>
        <w:t>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dean of the college or school that offers the class to initiate a review of the evaluation.</w:t>
      </w:r>
    </w:p>
    <w:p w14:paraId="1B376912" w14:textId="77777777" w:rsidR="00F2197E" w:rsidRPr="00424901" w:rsidRDefault="00F2197E" w:rsidP="00F2197E">
      <w:r w:rsidRPr="00424901">
        <w:t> </w:t>
      </w:r>
    </w:p>
    <w:p w14:paraId="37C68D57" w14:textId="77777777" w:rsidR="00F2197E" w:rsidRPr="00424901" w:rsidRDefault="00F2197E" w:rsidP="00F2197E">
      <w:r w:rsidRPr="00424901">
        <w:rPr>
          <w:b/>
          <w:bCs/>
          <w:u w:val="single"/>
        </w:rPr>
        <w:t>Disability Accommodation</w:t>
      </w:r>
    </w:p>
    <w:p w14:paraId="5729061D" w14:textId="77777777" w:rsidR="00F2197E" w:rsidRDefault="00F2197E" w:rsidP="00F2197E">
      <w:r w:rsidRPr="00DC1A03">
        <w:t xml:space="preserve">Any student who feels s/he may need academic accommodations or access accommodations based on the impact of a documented disability should contact and register with Disability Services during the first week of class or as soon as possible after </w:t>
      </w:r>
      <w:r>
        <w:t>the diagnosis of a disability. </w:t>
      </w:r>
      <w:r w:rsidRPr="00DC1A03">
        <w:t>Disability Services is the official office to assist students through the process of disability verification and coordination of appropriate and reasonable a</w:t>
      </w:r>
      <w:r>
        <w:t xml:space="preserve">ccommodations. </w:t>
      </w:r>
      <w:r w:rsidRPr="00DC1A03">
        <w:t>Students currently registered with Disability Services must obtain a new acc</w:t>
      </w:r>
      <w:r>
        <w:t xml:space="preserve">ommodation memo each semester. </w:t>
      </w:r>
    </w:p>
    <w:p w14:paraId="5BDC79A0" w14:textId="77777777" w:rsidR="00F2197E" w:rsidRPr="00424901" w:rsidRDefault="00F2197E" w:rsidP="00F2197E"/>
    <w:p w14:paraId="3432C8F7" w14:textId="77777777" w:rsidR="00F2197E" w:rsidRPr="00424901" w:rsidRDefault="00F2197E" w:rsidP="00F2197E">
      <w:r w:rsidRPr="00424901">
        <w:t>Please note: if your home institution is not the University of South Dakota but one of the other South Dakota Board of Regents institutions (e.g., SDSU, SDSMT, BHSU, NSU, DSU), you should work with the disability services coordinator at your home institution.</w:t>
      </w:r>
    </w:p>
    <w:p w14:paraId="1B547D68" w14:textId="77777777" w:rsidR="00F2197E" w:rsidRPr="00424901" w:rsidRDefault="00F2197E" w:rsidP="00F2197E">
      <w:r w:rsidRPr="00424901">
        <w:t> </w:t>
      </w:r>
    </w:p>
    <w:p w14:paraId="135BB1CF" w14:textId="77777777" w:rsidR="00F2197E" w:rsidRPr="00CE0828" w:rsidRDefault="00F2197E" w:rsidP="00F2197E">
      <w:pPr>
        <w:ind w:left="720"/>
      </w:pPr>
      <w:r w:rsidRPr="00CE0828">
        <w:t>Disability Services, The Commons Room 116</w:t>
      </w:r>
    </w:p>
    <w:p w14:paraId="3FC1206D" w14:textId="77777777" w:rsidR="00F2197E" w:rsidRPr="00CE0828" w:rsidRDefault="00F2197E" w:rsidP="00F2197E">
      <w:pPr>
        <w:ind w:left="720"/>
      </w:pPr>
      <w:r w:rsidRPr="00CE0828">
        <w:t>(605) 658-3745</w:t>
      </w:r>
    </w:p>
    <w:p w14:paraId="6F05C159" w14:textId="77777777" w:rsidR="00F2197E" w:rsidRPr="00CE0828" w:rsidRDefault="00F2197E" w:rsidP="00F2197E">
      <w:pPr>
        <w:ind w:left="720"/>
      </w:pPr>
      <w:r w:rsidRPr="00CE0828">
        <w:t xml:space="preserve">Web Site: </w:t>
      </w:r>
      <w:hyperlink r:id="rId62" w:history="1">
        <w:r w:rsidRPr="00CE0828">
          <w:rPr>
            <w:rStyle w:val="Hyperlink"/>
          </w:rPr>
          <w:t>www.usd.edu/ds</w:t>
        </w:r>
      </w:hyperlink>
      <w:r w:rsidRPr="00CE0828">
        <w:t xml:space="preserve">                                                                                         </w:t>
      </w:r>
    </w:p>
    <w:p w14:paraId="4AD765AC" w14:textId="77777777" w:rsidR="00F2197E" w:rsidRPr="00CE0828" w:rsidRDefault="00F2197E" w:rsidP="00F2197E">
      <w:pPr>
        <w:ind w:left="720"/>
      </w:pPr>
      <w:r w:rsidRPr="00CE0828">
        <w:t xml:space="preserve">Email:  </w:t>
      </w:r>
      <w:hyperlink r:id="rId63" w:history="1">
        <w:r w:rsidRPr="00CE0828">
          <w:rPr>
            <w:rStyle w:val="Hyperlink"/>
          </w:rPr>
          <w:t>disabilityservices@usd.edu</w:t>
        </w:r>
      </w:hyperlink>
    </w:p>
    <w:p w14:paraId="44645884" w14:textId="77777777" w:rsidR="00F2197E" w:rsidRPr="00424901" w:rsidRDefault="00F2197E" w:rsidP="00F2197E">
      <w:r w:rsidRPr="00424901">
        <w:t> </w:t>
      </w:r>
    </w:p>
    <w:p w14:paraId="1CCA4A56" w14:textId="77777777" w:rsidR="004A2358" w:rsidRDefault="004A2358" w:rsidP="004A2358">
      <w:pPr>
        <w:rPr>
          <w:rFonts w:eastAsia="Times New Roman"/>
        </w:rPr>
      </w:pPr>
      <w:r>
        <w:rPr>
          <w:rFonts w:eastAsia="Times New Roman"/>
          <w:b/>
          <w:bCs/>
          <w:u w:val="single"/>
        </w:rPr>
        <w:t>Accessibility Statement</w:t>
      </w:r>
    </w:p>
    <w:p w14:paraId="1792780C" w14:textId="77777777" w:rsidR="004A2358" w:rsidRDefault="004A2358" w:rsidP="004A2358">
      <w:pPr>
        <w:rPr>
          <w:rFonts w:eastAsia="Times New Roman"/>
        </w:rPr>
      </w:pPr>
      <w:r>
        <w:rPr>
          <w:rFonts w:eastAsia="Times New Roman"/>
        </w:rPr>
        <w:t>The University of South Dakota strives to ensure that physical resources, as well as information and communication technologies, are accessible to users in order to provide equal access to all. If you encounter any accessibility issues, you are encouraged to immediately contact the instructor of the course and the Office of Disability Services, which will work to resolve the issue as quickly as possible.</w:t>
      </w:r>
    </w:p>
    <w:p w14:paraId="69141DAD" w14:textId="77777777" w:rsidR="004A2358" w:rsidRDefault="004A2358" w:rsidP="004A2358">
      <w:pPr>
        <w:rPr>
          <w:rFonts w:eastAsia="Times New Roman"/>
        </w:rPr>
      </w:pPr>
      <w:r>
        <w:rPr>
          <w:rFonts w:eastAsia="Times New Roman"/>
        </w:rPr>
        <w:t> </w:t>
      </w:r>
    </w:p>
    <w:p w14:paraId="58A4A268" w14:textId="33BEF4C8" w:rsidR="00F2197E" w:rsidRPr="00424901" w:rsidRDefault="00F2197E" w:rsidP="004A2358">
      <w:pPr>
        <w:keepNext/>
        <w:widowControl w:val="0"/>
        <w:rPr>
          <w:b/>
          <w:bCs/>
          <w:u w:val="single"/>
        </w:rPr>
      </w:pPr>
      <w:r w:rsidRPr="00424901">
        <w:rPr>
          <w:b/>
          <w:bCs/>
          <w:u w:val="single"/>
        </w:rPr>
        <w:t>Diversity and Inclusive Excellence</w:t>
      </w:r>
    </w:p>
    <w:p w14:paraId="3EF7638C" w14:textId="77777777" w:rsidR="00F2197E" w:rsidRPr="00424901" w:rsidRDefault="00F2197E" w:rsidP="00F2197E">
      <w:r w:rsidRPr="00424901">
        <w:t>The University of South Dakota strives to foster a globally inclusive learning environment where opportunities are provided for diversity to be recognized and respected.</w:t>
      </w:r>
      <w:r w:rsidRPr="00E5725E">
        <w:rPr>
          <w:color w:val="FF0000"/>
        </w:rPr>
        <w:t xml:space="preserve"> </w:t>
      </w:r>
      <w:r w:rsidRPr="00E5725E">
        <w:t xml:space="preserve">To learn more about USD’s diversity and inclusiveness initiatives, please visit the website for the </w:t>
      </w:r>
      <w:r w:rsidRPr="00E5725E">
        <w:rPr>
          <w:bCs/>
        </w:rPr>
        <w:t>Office of Diversity</w:t>
      </w:r>
      <w:r w:rsidRPr="00E5725E">
        <w:t>.</w:t>
      </w:r>
    </w:p>
    <w:p w14:paraId="62900466" w14:textId="77777777" w:rsidR="00F2197E" w:rsidRDefault="00F2197E" w:rsidP="001E4320">
      <w:pPr>
        <w:rPr>
          <w:szCs w:val="24"/>
        </w:rPr>
      </w:pPr>
    </w:p>
    <w:sectPr w:rsidR="00F2197E">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7478" w14:textId="77777777" w:rsidR="00785786" w:rsidRDefault="00785786" w:rsidP="001E4320">
      <w:pPr>
        <w:spacing w:line="240" w:lineRule="auto"/>
      </w:pPr>
      <w:r>
        <w:separator/>
      </w:r>
    </w:p>
  </w:endnote>
  <w:endnote w:type="continuationSeparator" w:id="0">
    <w:p w14:paraId="03C5A8AF" w14:textId="77777777" w:rsidR="00785786" w:rsidRDefault="00785786" w:rsidP="001E4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3B41" w14:textId="77777777" w:rsidR="00785786" w:rsidRDefault="00785786" w:rsidP="001E4320">
      <w:pPr>
        <w:spacing w:line="240" w:lineRule="auto"/>
      </w:pPr>
      <w:r>
        <w:separator/>
      </w:r>
    </w:p>
  </w:footnote>
  <w:footnote w:type="continuationSeparator" w:id="0">
    <w:p w14:paraId="62C8DB46" w14:textId="77777777" w:rsidR="00785786" w:rsidRDefault="00785786" w:rsidP="001E4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6484" w14:textId="77777777" w:rsidR="001E4320" w:rsidRDefault="001E4320">
    <w:pPr>
      <w:pStyle w:val="Header"/>
    </w:pPr>
    <w:r>
      <w:rPr>
        <w:noProof/>
      </w:rPr>
      <w:drawing>
        <wp:inline distT="0" distB="0" distL="0" distR="0" wp14:anchorId="3D8E8C57" wp14:editId="20AAACB7">
          <wp:extent cx="914400" cy="580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_logo_V_2C.eps"/>
                  <pic:cNvPicPr/>
                </pic:nvPicPr>
                <pic:blipFill>
                  <a:blip r:embed="rId1">
                    <a:extLst>
                      <a:ext uri="{28A0092B-C50C-407E-A947-70E740481C1C}">
                        <a14:useLocalDpi xmlns:a14="http://schemas.microsoft.com/office/drawing/2010/main" val="0"/>
                      </a:ext>
                    </a:extLst>
                  </a:blip>
                  <a:stretch>
                    <a:fillRect/>
                  </a:stretch>
                </pic:blipFill>
                <pic:spPr>
                  <a:xfrm>
                    <a:off x="0" y="0"/>
                    <a:ext cx="914400" cy="580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E90"/>
    <w:multiLevelType w:val="hybridMultilevel"/>
    <w:tmpl w:val="F2C6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5B4D"/>
    <w:multiLevelType w:val="multilevel"/>
    <w:tmpl w:val="E9B8F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5210FA"/>
    <w:multiLevelType w:val="hybridMultilevel"/>
    <w:tmpl w:val="0F76A8C2"/>
    <w:lvl w:ilvl="0" w:tplc="506C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0151C"/>
    <w:multiLevelType w:val="hybridMultilevel"/>
    <w:tmpl w:val="3614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338B2"/>
    <w:multiLevelType w:val="multilevel"/>
    <w:tmpl w:val="689EE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9E4F65"/>
    <w:multiLevelType w:val="multilevel"/>
    <w:tmpl w:val="179C2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01"/>
    <w:rsid w:val="00001989"/>
    <w:rsid w:val="00003EAF"/>
    <w:rsid w:val="0001237E"/>
    <w:rsid w:val="00023B36"/>
    <w:rsid w:val="00025C8F"/>
    <w:rsid w:val="00032330"/>
    <w:rsid w:val="000324D2"/>
    <w:rsid w:val="00033E4B"/>
    <w:rsid w:val="00034881"/>
    <w:rsid w:val="00060D30"/>
    <w:rsid w:val="00067B8B"/>
    <w:rsid w:val="00074245"/>
    <w:rsid w:val="000810C4"/>
    <w:rsid w:val="00091E17"/>
    <w:rsid w:val="00092AF6"/>
    <w:rsid w:val="00095363"/>
    <w:rsid w:val="000A09B7"/>
    <w:rsid w:val="000A1CF6"/>
    <w:rsid w:val="000B574A"/>
    <w:rsid w:val="000C3DDE"/>
    <w:rsid w:val="000D1DD3"/>
    <w:rsid w:val="000D2377"/>
    <w:rsid w:val="00101273"/>
    <w:rsid w:val="00105F9F"/>
    <w:rsid w:val="001223E3"/>
    <w:rsid w:val="001226FB"/>
    <w:rsid w:val="00130470"/>
    <w:rsid w:val="001476CB"/>
    <w:rsid w:val="00156C7F"/>
    <w:rsid w:val="0016182E"/>
    <w:rsid w:val="001645E7"/>
    <w:rsid w:val="00175870"/>
    <w:rsid w:val="00182655"/>
    <w:rsid w:val="001954CD"/>
    <w:rsid w:val="00196DB7"/>
    <w:rsid w:val="001A3E2E"/>
    <w:rsid w:val="001B4751"/>
    <w:rsid w:val="001C0DA3"/>
    <w:rsid w:val="001C2116"/>
    <w:rsid w:val="001D409B"/>
    <w:rsid w:val="001E064C"/>
    <w:rsid w:val="001E1A1B"/>
    <w:rsid w:val="001E4320"/>
    <w:rsid w:val="001E7670"/>
    <w:rsid w:val="0020504A"/>
    <w:rsid w:val="00217EA7"/>
    <w:rsid w:val="00221B49"/>
    <w:rsid w:val="002277AA"/>
    <w:rsid w:val="00230B86"/>
    <w:rsid w:val="00237C75"/>
    <w:rsid w:val="00241DE6"/>
    <w:rsid w:val="002461E1"/>
    <w:rsid w:val="002619D6"/>
    <w:rsid w:val="00265FCC"/>
    <w:rsid w:val="00280FA4"/>
    <w:rsid w:val="0028190B"/>
    <w:rsid w:val="00281A5C"/>
    <w:rsid w:val="00285743"/>
    <w:rsid w:val="002868EB"/>
    <w:rsid w:val="002A481E"/>
    <w:rsid w:val="002A615E"/>
    <w:rsid w:val="002B1CC5"/>
    <w:rsid w:val="002B6237"/>
    <w:rsid w:val="002B7A28"/>
    <w:rsid w:val="002C1CFC"/>
    <w:rsid w:val="002C5984"/>
    <w:rsid w:val="002E077A"/>
    <w:rsid w:val="003310B6"/>
    <w:rsid w:val="00332295"/>
    <w:rsid w:val="0033628F"/>
    <w:rsid w:val="00343AFA"/>
    <w:rsid w:val="00354B1D"/>
    <w:rsid w:val="00366230"/>
    <w:rsid w:val="00367E1D"/>
    <w:rsid w:val="00386449"/>
    <w:rsid w:val="003D494F"/>
    <w:rsid w:val="003E4B01"/>
    <w:rsid w:val="003F40EB"/>
    <w:rsid w:val="003F797F"/>
    <w:rsid w:val="00413E56"/>
    <w:rsid w:val="00424901"/>
    <w:rsid w:val="00446DF7"/>
    <w:rsid w:val="00451E87"/>
    <w:rsid w:val="0045262D"/>
    <w:rsid w:val="00457599"/>
    <w:rsid w:val="00460B0D"/>
    <w:rsid w:val="00463551"/>
    <w:rsid w:val="00465181"/>
    <w:rsid w:val="00470458"/>
    <w:rsid w:val="00493047"/>
    <w:rsid w:val="00497890"/>
    <w:rsid w:val="0049792A"/>
    <w:rsid w:val="004A2358"/>
    <w:rsid w:val="004A586E"/>
    <w:rsid w:val="004C1DB5"/>
    <w:rsid w:val="004C554C"/>
    <w:rsid w:val="004D7ECB"/>
    <w:rsid w:val="004E519D"/>
    <w:rsid w:val="00510CE5"/>
    <w:rsid w:val="0051236C"/>
    <w:rsid w:val="005144F1"/>
    <w:rsid w:val="00515532"/>
    <w:rsid w:val="00524FB3"/>
    <w:rsid w:val="00527558"/>
    <w:rsid w:val="00536B27"/>
    <w:rsid w:val="0055503E"/>
    <w:rsid w:val="00561D88"/>
    <w:rsid w:val="00562598"/>
    <w:rsid w:val="00572B72"/>
    <w:rsid w:val="00574DBA"/>
    <w:rsid w:val="00576D7F"/>
    <w:rsid w:val="00577DD7"/>
    <w:rsid w:val="00582C05"/>
    <w:rsid w:val="00583E13"/>
    <w:rsid w:val="005924AD"/>
    <w:rsid w:val="00595199"/>
    <w:rsid w:val="005D095F"/>
    <w:rsid w:val="005D15A5"/>
    <w:rsid w:val="005D4F1A"/>
    <w:rsid w:val="005D7134"/>
    <w:rsid w:val="005F0134"/>
    <w:rsid w:val="00601A04"/>
    <w:rsid w:val="006036D8"/>
    <w:rsid w:val="006070AA"/>
    <w:rsid w:val="00616470"/>
    <w:rsid w:val="00626463"/>
    <w:rsid w:val="00636A8D"/>
    <w:rsid w:val="0064434B"/>
    <w:rsid w:val="00654F02"/>
    <w:rsid w:val="006736C4"/>
    <w:rsid w:val="0068460E"/>
    <w:rsid w:val="00684637"/>
    <w:rsid w:val="00693BE3"/>
    <w:rsid w:val="00695AB5"/>
    <w:rsid w:val="006A1A90"/>
    <w:rsid w:val="006A69E1"/>
    <w:rsid w:val="006B7DDD"/>
    <w:rsid w:val="006C5345"/>
    <w:rsid w:val="006C7686"/>
    <w:rsid w:val="006D6359"/>
    <w:rsid w:val="006E5EC8"/>
    <w:rsid w:val="006F0EB7"/>
    <w:rsid w:val="006F5DEB"/>
    <w:rsid w:val="006F7CB1"/>
    <w:rsid w:val="00730329"/>
    <w:rsid w:val="00732FC7"/>
    <w:rsid w:val="007379D9"/>
    <w:rsid w:val="0074145D"/>
    <w:rsid w:val="00741E62"/>
    <w:rsid w:val="0074282A"/>
    <w:rsid w:val="00744D2C"/>
    <w:rsid w:val="00745BDD"/>
    <w:rsid w:val="007564EA"/>
    <w:rsid w:val="00766A91"/>
    <w:rsid w:val="0077260A"/>
    <w:rsid w:val="0078418C"/>
    <w:rsid w:val="00785786"/>
    <w:rsid w:val="007937DB"/>
    <w:rsid w:val="007A00CD"/>
    <w:rsid w:val="007A4B56"/>
    <w:rsid w:val="007B1CD7"/>
    <w:rsid w:val="007B519C"/>
    <w:rsid w:val="007C0C32"/>
    <w:rsid w:val="007C7F62"/>
    <w:rsid w:val="007E4152"/>
    <w:rsid w:val="007E5D70"/>
    <w:rsid w:val="007F1037"/>
    <w:rsid w:val="007F331E"/>
    <w:rsid w:val="007F385C"/>
    <w:rsid w:val="007F63D0"/>
    <w:rsid w:val="007F744C"/>
    <w:rsid w:val="0081059D"/>
    <w:rsid w:val="00815060"/>
    <w:rsid w:val="00822CD9"/>
    <w:rsid w:val="0082566A"/>
    <w:rsid w:val="00840F58"/>
    <w:rsid w:val="00872883"/>
    <w:rsid w:val="008732C9"/>
    <w:rsid w:val="008745B9"/>
    <w:rsid w:val="00882015"/>
    <w:rsid w:val="00887399"/>
    <w:rsid w:val="008921D0"/>
    <w:rsid w:val="008B61AA"/>
    <w:rsid w:val="008C0C6B"/>
    <w:rsid w:val="008C5DFF"/>
    <w:rsid w:val="008C7C4B"/>
    <w:rsid w:val="008D0DDF"/>
    <w:rsid w:val="008E0981"/>
    <w:rsid w:val="008E492C"/>
    <w:rsid w:val="008F0F98"/>
    <w:rsid w:val="008F16DC"/>
    <w:rsid w:val="00900045"/>
    <w:rsid w:val="00902F7D"/>
    <w:rsid w:val="009122AC"/>
    <w:rsid w:val="00913C2B"/>
    <w:rsid w:val="00913CAD"/>
    <w:rsid w:val="00937722"/>
    <w:rsid w:val="009409BA"/>
    <w:rsid w:val="009551EB"/>
    <w:rsid w:val="0095621F"/>
    <w:rsid w:val="009602C3"/>
    <w:rsid w:val="0096216A"/>
    <w:rsid w:val="00962CAA"/>
    <w:rsid w:val="00962D37"/>
    <w:rsid w:val="00973B55"/>
    <w:rsid w:val="0098258E"/>
    <w:rsid w:val="009876F9"/>
    <w:rsid w:val="009B57B0"/>
    <w:rsid w:val="009C41C6"/>
    <w:rsid w:val="009D4DDB"/>
    <w:rsid w:val="009D712D"/>
    <w:rsid w:val="009E07B4"/>
    <w:rsid w:val="009E3CE1"/>
    <w:rsid w:val="009F41DB"/>
    <w:rsid w:val="00A34BEF"/>
    <w:rsid w:val="00A410CA"/>
    <w:rsid w:val="00A610EB"/>
    <w:rsid w:val="00A61378"/>
    <w:rsid w:val="00A81085"/>
    <w:rsid w:val="00A9468C"/>
    <w:rsid w:val="00A9693E"/>
    <w:rsid w:val="00AD5136"/>
    <w:rsid w:val="00AE59E8"/>
    <w:rsid w:val="00B10E76"/>
    <w:rsid w:val="00B1198E"/>
    <w:rsid w:val="00B23A80"/>
    <w:rsid w:val="00B2498E"/>
    <w:rsid w:val="00B314AD"/>
    <w:rsid w:val="00B31825"/>
    <w:rsid w:val="00B41E71"/>
    <w:rsid w:val="00B42AAE"/>
    <w:rsid w:val="00B4416F"/>
    <w:rsid w:val="00B56DD7"/>
    <w:rsid w:val="00B60FF2"/>
    <w:rsid w:val="00B72EDD"/>
    <w:rsid w:val="00B7529B"/>
    <w:rsid w:val="00B93F15"/>
    <w:rsid w:val="00BB5553"/>
    <w:rsid w:val="00BC5D09"/>
    <w:rsid w:val="00BE1D61"/>
    <w:rsid w:val="00C0054A"/>
    <w:rsid w:val="00C16D6E"/>
    <w:rsid w:val="00C27D0E"/>
    <w:rsid w:val="00C55F17"/>
    <w:rsid w:val="00C566E7"/>
    <w:rsid w:val="00C63F42"/>
    <w:rsid w:val="00C708F0"/>
    <w:rsid w:val="00C71012"/>
    <w:rsid w:val="00C74149"/>
    <w:rsid w:val="00C8379E"/>
    <w:rsid w:val="00C85539"/>
    <w:rsid w:val="00C85575"/>
    <w:rsid w:val="00C97DE6"/>
    <w:rsid w:val="00CA60FC"/>
    <w:rsid w:val="00CB3727"/>
    <w:rsid w:val="00CC0EF9"/>
    <w:rsid w:val="00CC4A49"/>
    <w:rsid w:val="00CC4AA8"/>
    <w:rsid w:val="00CC4D42"/>
    <w:rsid w:val="00CC6D7D"/>
    <w:rsid w:val="00CC7808"/>
    <w:rsid w:val="00CD1145"/>
    <w:rsid w:val="00CD7D85"/>
    <w:rsid w:val="00CE3ABB"/>
    <w:rsid w:val="00CF2381"/>
    <w:rsid w:val="00D10982"/>
    <w:rsid w:val="00D15F9B"/>
    <w:rsid w:val="00D20952"/>
    <w:rsid w:val="00D32DBD"/>
    <w:rsid w:val="00D46DF5"/>
    <w:rsid w:val="00D51299"/>
    <w:rsid w:val="00D56627"/>
    <w:rsid w:val="00D60D51"/>
    <w:rsid w:val="00D7333A"/>
    <w:rsid w:val="00D7742A"/>
    <w:rsid w:val="00D8121C"/>
    <w:rsid w:val="00D93F8D"/>
    <w:rsid w:val="00DC1A03"/>
    <w:rsid w:val="00DD1461"/>
    <w:rsid w:val="00DE513D"/>
    <w:rsid w:val="00DF0FAA"/>
    <w:rsid w:val="00DF14B3"/>
    <w:rsid w:val="00DF2394"/>
    <w:rsid w:val="00DF518F"/>
    <w:rsid w:val="00E03DE8"/>
    <w:rsid w:val="00E12651"/>
    <w:rsid w:val="00E337BB"/>
    <w:rsid w:val="00E56EAC"/>
    <w:rsid w:val="00E5725E"/>
    <w:rsid w:val="00E5759E"/>
    <w:rsid w:val="00E62B5E"/>
    <w:rsid w:val="00E7223D"/>
    <w:rsid w:val="00E9491D"/>
    <w:rsid w:val="00E97B8A"/>
    <w:rsid w:val="00EB6AF3"/>
    <w:rsid w:val="00EB70C0"/>
    <w:rsid w:val="00ED1B81"/>
    <w:rsid w:val="00ED3A00"/>
    <w:rsid w:val="00EE3C6C"/>
    <w:rsid w:val="00EE7AE8"/>
    <w:rsid w:val="00EF4DBF"/>
    <w:rsid w:val="00F0198F"/>
    <w:rsid w:val="00F10032"/>
    <w:rsid w:val="00F2197E"/>
    <w:rsid w:val="00F51085"/>
    <w:rsid w:val="00F5377A"/>
    <w:rsid w:val="00F56ECC"/>
    <w:rsid w:val="00F609EE"/>
    <w:rsid w:val="00F749B5"/>
    <w:rsid w:val="00F852CB"/>
    <w:rsid w:val="00F90F19"/>
    <w:rsid w:val="00F93974"/>
    <w:rsid w:val="00FA7BC7"/>
    <w:rsid w:val="00FB1E25"/>
    <w:rsid w:val="00FD4AE6"/>
    <w:rsid w:val="00FE03B1"/>
    <w:rsid w:val="00FE092E"/>
    <w:rsid w:val="00FE0973"/>
    <w:rsid w:val="00FE2292"/>
    <w:rsid w:val="00FE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6AED"/>
  <w15:docId w15:val="{AB822729-8970-4692-8BFA-FCA415E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1E43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901"/>
    <w:rPr>
      <w:color w:val="0563C1" w:themeColor="hyperlink"/>
      <w:u w:val="single"/>
    </w:rPr>
  </w:style>
  <w:style w:type="character" w:styleId="FollowedHyperlink">
    <w:name w:val="FollowedHyperlink"/>
    <w:basedOn w:val="DefaultParagraphFont"/>
    <w:uiPriority w:val="99"/>
    <w:semiHidden/>
    <w:unhideWhenUsed/>
    <w:rsid w:val="00451E87"/>
    <w:rPr>
      <w:color w:val="954F72" w:themeColor="followedHyperlink"/>
      <w:u w:val="single"/>
    </w:rPr>
  </w:style>
  <w:style w:type="paragraph" w:styleId="Header">
    <w:name w:val="header"/>
    <w:basedOn w:val="Normal"/>
    <w:link w:val="HeaderChar"/>
    <w:uiPriority w:val="99"/>
    <w:unhideWhenUsed/>
    <w:rsid w:val="001E4320"/>
    <w:pPr>
      <w:tabs>
        <w:tab w:val="center" w:pos="4680"/>
        <w:tab w:val="right" w:pos="9360"/>
      </w:tabs>
      <w:spacing w:line="240" w:lineRule="auto"/>
    </w:pPr>
  </w:style>
  <w:style w:type="character" w:customStyle="1" w:styleId="HeaderChar">
    <w:name w:val="Header Char"/>
    <w:basedOn w:val="DefaultParagraphFont"/>
    <w:link w:val="Header"/>
    <w:uiPriority w:val="99"/>
    <w:rsid w:val="001E4320"/>
  </w:style>
  <w:style w:type="paragraph" w:styleId="Footer">
    <w:name w:val="footer"/>
    <w:basedOn w:val="Normal"/>
    <w:link w:val="FooterChar"/>
    <w:uiPriority w:val="99"/>
    <w:unhideWhenUsed/>
    <w:rsid w:val="001E4320"/>
    <w:pPr>
      <w:tabs>
        <w:tab w:val="center" w:pos="4680"/>
        <w:tab w:val="right" w:pos="9360"/>
      </w:tabs>
      <w:spacing w:line="240" w:lineRule="auto"/>
    </w:pPr>
  </w:style>
  <w:style w:type="character" w:customStyle="1" w:styleId="FooterChar">
    <w:name w:val="Footer Char"/>
    <w:basedOn w:val="DefaultParagraphFont"/>
    <w:link w:val="Footer"/>
    <w:uiPriority w:val="99"/>
    <w:rsid w:val="001E4320"/>
  </w:style>
  <w:style w:type="paragraph" w:styleId="BalloonText">
    <w:name w:val="Balloon Text"/>
    <w:basedOn w:val="Normal"/>
    <w:link w:val="BalloonTextChar"/>
    <w:uiPriority w:val="99"/>
    <w:semiHidden/>
    <w:unhideWhenUsed/>
    <w:rsid w:val="001E4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20"/>
    <w:rPr>
      <w:rFonts w:ascii="Tahoma" w:hAnsi="Tahoma" w:cs="Tahoma"/>
      <w:sz w:val="16"/>
      <w:szCs w:val="16"/>
    </w:rPr>
  </w:style>
  <w:style w:type="character" w:customStyle="1" w:styleId="Heading3Char">
    <w:name w:val="Heading 3 Char"/>
    <w:basedOn w:val="DefaultParagraphFont"/>
    <w:link w:val="Heading3"/>
    <w:uiPriority w:val="9"/>
    <w:rsid w:val="001E4320"/>
    <w:rPr>
      <w:rFonts w:ascii="Times New Roman" w:eastAsia="Times New Roman" w:hAnsi="Times New Roman" w:cs="Times New Roman"/>
      <w:b/>
      <w:bCs/>
      <w:sz w:val="27"/>
      <w:szCs w:val="27"/>
    </w:rPr>
  </w:style>
  <w:style w:type="paragraph" w:styleId="ListParagraph">
    <w:name w:val="List Paragraph"/>
    <w:basedOn w:val="Normal"/>
    <w:uiPriority w:val="34"/>
    <w:qFormat/>
    <w:rsid w:val="00D8121C"/>
    <w:pPr>
      <w:ind w:left="720"/>
      <w:contextualSpacing/>
    </w:pPr>
  </w:style>
  <w:style w:type="paragraph" w:styleId="HTMLPreformatted">
    <w:name w:val="HTML Preformatted"/>
    <w:basedOn w:val="Normal"/>
    <w:link w:val="HTMLPreformattedChar"/>
    <w:uiPriority w:val="99"/>
    <w:semiHidden/>
    <w:unhideWhenUsed/>
    <w:rsid w:val="00452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262D"/>
    <w:rPr>
      <w:rFonts w:ascii="Courier New" w:eastAsia="Times New Roman" w:hAnsi="Courier New" w:cs="Courier New"/>
      <w:sz w:val="20"/>
      <w:szCs w:val="20"/>
    </w:rPr>
  </w:style>
  <w:style w:type="character" w:styleId="Strong">
    <w:name w:val="Strong"/>
    <w:basedOn w:val="DefaultParagraphFont"/>
    <w:uiPriority w:val="22"/>
    <w:qFormat/>
    <w:rsid w:val="0045262D"/>
    <w:rPr>
      <w:b/>
      <w:bCs/>
    </w:rPr>
  </w:style>
  <w:style w:type="character" w:styleId="Emphasis">
    <w:name w:val="Emphasis"/>
    <w:basedOn w:val="DefaultParagraphFont"/>
    <w:uiPriority w:val="20"/>
    <w:qFormat/>
    <w:rsid w:val="005D4F1A"/>
    <w:rPr>
      <w:i/>
      <w:iCs/>
    </w:rPr>
  </w:style>
  <w:style w:type="character" w:customStyle="1" w:styleId="Heading1Char">
    <w:name w:val="Heading 1 Char"/>
    <w:basedOn w:val="DefaultParagraphFont"/>
    <w:link w:val="Heading1"/>
    <w:uiPriority w:val="9"/>
    <w:rsid w:val="00D56627"/>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F2197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4426">
      <w:bodyDiv w:val="1"/>
      <w:marLeft w:val="0"/>
      <w:marRight w:val="0"/>
      <w:marTop w:val="0"/>
      <w:marBottom w:val="0"/>
      <w:divBdr>
        <w:top w:val="none" w:sz="0" w:space="0" w:color="auto"/>
        <w:left w:val="none" w:sz="0" w:space="0" w:color="auto"/>
        <w:bottom w:val="none" w:sz="0" w:space="0" w:color="auto"/>
        <w:right w:val="none" w:sz="0" w:space="0" w:color="auto"/>
      </w:divBdr>
    </w:div>
    <w:div w:id="155924200">
      <w:bodyDiv w:val="1"/>
      <w:marLeft w:val="0"/>
      <w:marRight w:val="0"/>
      <w:marTop w:val="0"/>
      <w:marBottom w:val="0"/>
      <w:divBdr>
        <w:top w:val="none" w:sz="0" w:space="0" w:color="auto"/>
        <w:left w:val="none" w:sz="0" w:space="0" w:color="auto"/>
        <w:bottom w:val="none" w:sz="0" w:space="0" w:color="auto"/>
        <w:right w:val="none" w:sz="0" w:space="0" w:color="auto"/>
      </w:divBdr>
    </w:div>
    <w:div w:id="321785112">
      <w:bodyDiv w:val="1"/>
      <w:marLeft w:val="0"/>
      <w:marRight w:val="0"/>
      <w:marTop w:val="0"/>
      <w:marBottom w:val="0"/>
      <w:divBdr>
        <w:top w:val="none" w:sz="0" w:space="0" w:color="auto"/>
        <w:left w:val="none" w:sz="0" w:space="0" w:color="auto"/>
        <w:bottom w:val="none" w:sz="0" w:space="0" w:color="auto"/>
        <w:right w:val="none" w:sz="0" w:space="0" w:color="auto"/>
      </w:divBdr>
    </w:div>
    <w:div w:id="469633772">
      <w:bodyDiv w:val="1"/>
      <w:marLeft w:val="0"/>
      <w:marRight w:val="0"/>
      <w:marTop w:val="0"/>
      <w:marBottom w:val="0"/>
      <w:divBdr>
        <w:top w:val="none" w:sz="0" w:space="0" w:color="auto"/>
        <w:left w:val="none" w:sz="0" w:space="0" w:color="auto"/>
        <w:bottom w:val="none" w:sz="0" w:space="0" w:color="auto"/>
        <w:right w:val="none" w:sz="0" w:space="0" w:color="auto"/>
      </w:divBdr>
    </w:div>
    <w:div w:id="557205901">
      <w:bodyDiv w:val="1"/>
      <w:marLeft w:val="0"/>
      <w:marRight w:val="0"/>
      <w:marTop w:val="0"/>
      <w:marBottom w:val="0"/>
      <w:divBdr>
        <w:top w:val="none" w:sz="0" w:space="0" w:color="auto"/>
        <w:left w:val="none" w:sz="0" w:space="0" w:color="auto"/>
        <w:bottom w:val="none" w:sz="0" w:space="0" w:color="auto"/>
        <w:right w:val="none" w:sz="0" w:space="0" w:color="auto"/>
      </w:divBdr>
    </w:div>
    <w:div w:id="1123964018">
      <w:bodyDiv w:val="1"/>
      <w:marLeft w:val="0"/>
      <w:marRight w:val="0"/>
      <w:marTop w:val="0"/>
      <w:marBottom w:val="0"/>
      <w:divBdr>
        <w:top w:val="none" w:sz="0" w:space="0" w:color="auto"/>
        <w:left w:val="none" w:sz="0" w:space="0" w:color="auto"/>
        <w:bottom w:val="none" w:sz="0" w:space="0" w:color="auto"/>
        <w:right w:val="none" w:sz="0" w:space="0" w:color="auto"/>
      </w:divBdr>
    </w:div>
    <w:div w:id="1327438819">
      <w:bodyDiv w:val="1"/>
      <w:marLeft w:val="0"/>
      <w:marRight w:val="0"/>
      <w:marTop w:val="0"/>
      <w:marBottom w:val="0"/>
      <w:divBdr>
        <w:top w:val="none" w:sz="0" w:space="0" w:color="auto"/>
        <w:left w:val="none" w:sz="0" w:space="0" w:color="auto"/>
        <w:bottom w:val="none" w:sz="0" w:space="0" w:color="auto"/>
        <w:right w:val="none" w:sz="0" w:space="0" w:color="auto"/>
      </w:divBdr>
    </w:div>
    <w:div w:id="1366715660">
      <w:bodyDiv w:val="1"/>
      <w:marLeft w:val="0"/>
      <w:marRight w:val="0"/>
      <w:marTop w:val="0"/>
      <w:marBottom w:val="0"/>
      <w:divBdr>
        <w:top w:val="none" w:sz="0" w:space="0" w:color="auto"/>
        <w:left w:val="none" w:sz="0" w:space="0" w:color="auto"/>
        <w:bottom w:val="none" w:sz="0" w:space="0" w:color="auto"/>
        <w:right w:val="none" w:sz="0" w:space="0" w:color="auto"/>
      </w:divBdr>
    </w:div>
    <w:div w:id="1398438409">
      <w:bodyDiv w:val="1"/>
      <w:marLeft w:val="0"/>
      <w:marRight w:val="0"/>
      <w:marTop w:val="0"/>
      <w:marBottom w:val="0"/>
      <w:divBdr>
        <w:top w:val="none" w:sz="0" w:space="0" w:color="auto"/>
        <w:left w:val="none" w:sz="0" w:space="0" w:color="auto"/>
        <w:bottom w:val="none" w:sz="0" w:space="0" w:color="auto"/>
        <w:right w:val="none" w:sz="0" w:space="0" w:color="auto"/>
      </w:divBdr>
    </w:div>
    <w:div w:id="1700659566">
      <w:bodyDiv w:val="1"/>
      <w:marLeft w:val="0"/>
      <w:marRight w:val="0"/>
      <w:marTop w:val="0"/>
      <w:marBottom w:val="0"/>
      <w:divBdr>
        <w:top w:val="none" w:sz="0" w:space="0" w:color="auto"/>
        <w:left w:val="none" w:sz="0" w:space="0" w:color="auto"/>
        <w:bottom w:val="none" w:sz="0" w:space="0" w:color="auto"/>
        <w:right w:val="none" w:sz="0" w:space="0" w:color="auto"/>
      </w:divBdr>
    </w:div>
    <w:div w:id="1849295669">
      <w:bodyDiv w:val="1"/>
      <w:marLeft w:val="0"/>
      <w:marRight w:val="0"/>
      <w:marTop w:val="0"/>
      <w:marBottom w:val="0"/>
      <w:divBdr>
        <w:top w:val="none" w:sz="0" w:space="0" w:color="auto"/>
        <w:left w:val="none" w:sz="0" w:space="0" w:color="auto"/>
        <w:bottom w:val="none" w:sz="0" w:space="0" w:color="auto"/>
        <w:right w:val="none" w:sz="0" w:space="0" w:color="auto"/>
      </w:divBdr>
    </w:div>
    <w:div w:id="1885752661">
      <w:bodyDiv w:val="1"/>
      <w:marLeft w:val="0"/>
      <w:marRight w:val="0"/>
      <w:marTop w:val="0"/>
      <w:marBottom w:val="0"/>
      <w:divBdr>
        <w:top w:val="none" w:sz="0" w:space="0" w:color="auto"/>
        <w:left w:val="none" w:sz="0" w:space="0" w:color="auto"/>
        <w:bottom w:val="none" w:sz="0" w:space="0" w:color="auto"/>
        <w:right w:val="none" w:sz="0" w:space="0" w:color="auto"/>
      </w:divBdr>
    </w:div>
    <w:div w:id="19943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dbiology.com/cliff/Courses/Endocrinology/11%20Tropic%20Hormones%20XI.html" TargetMode="External"/><Relationship Id="rId21" Type="http://schemas.openxmlformats.org/officeDocument/2006/relationships/hyperlink" Target="http://www.usdbiology.com/cliff/Courses/Endocrinology/7%20Gene%20Regulation%20VII.html" TargetMode="External"/><Relationship Id="rId34" Type="http://schemas.openxmlformats.org/officeDocument/2006/relationships/hyperlink" Target="http://www.usdbiology.com/cliff/Courses/Endocrinology/14%20Steroids%20XIV.html" TargetMode="External"/><Relationship Id="rId42" Type="http://schemas.openxmlformats.org/officeDocument/2006/relationships/hyperlink" Target="http://www.usdbiology.com/cliff/Courses/Endocrinology/18%20HPG%20XIX.html" TargetMode="External"/><Relationship Id="rId47" Type="http://schemas.openxmlformats.org/officeDocument/2006/relationships/hyperlink" Target="http://www.usdbiology.com/cliff/Courses/Endocrinology/21%20Growth%20Factors%20XXIII.html" TargetMode="External"/><Relationship Id="rId50" Type="http://schemas.openxmlformats.org/officeDocument/2006/relationships/hyperlink" Target="http://www.usdbiology.com/cliff/Courses/Endocrinology/Videos/Immune%20lecture%2018.MOV" TargetMode="External"/><Relationship Id="rId55" Type="http://schemas.openxmlformats.org/officeDocument/2006/relationships/hyperlink" Target="http://www.usdbiology.com/cliff/Courses/Endocrinology/25%20Gastrointestinal%20Hormones%20XXVII%20XXVIII.html" TargetMode="External"/><Relationship Id="rId63" Type="http://schemas.openxmlformats.org/officeDocument/2006/relationships/hyperlink" Target="mailto:disabilityservices@usd.edu" TargetMode="External"/><Relationship Id="rId7" Type="http://schemas.openxmlformats.org/officeDocument/2006/relationships/hyperlink" Target="mailto:cliff@usd.edu" TargetMode="External"/><Relationship Id="rId2" Type="http://schemas.openxmlformats.org/officeDocument/2006/relationships/styles" Target="styles.xml"/><Relationship Id="rId16" Type="http://schemas.openxmlformats.org/officeDocument/2006/relationships/hyperlink" Target="http://www.usdbiology.com/cliff/Courses/Endocrinology/4%20Homeostasis%20IV.html" TargetMode="External"/><Relationship Id="rId29" Type="http://schemas.openxmlformats.org/officeDocument/2006/relationships/hyperlink" Target="http://www.usdbiology.com/cliff/Courses/Endocrinology/13%20Thyroid%20Axis%20XIII.html" TargetMode="External"/><Relationship Id="rId11" Type="http://schemas.openxmlformats.org/officeDocument/2006/relationships/hyperlink" Target="http://www.usdbiology.com/cliff/ac.html" TargetMode="External"/><Relationship Id="rId24" Type="http://schemas.openxmlformats.org/officeDocument/2006/relationships/hyperlink" Target="http://www.usdbiology.com/cliff/Courses/Endocrinology/10%20Hypothalamus%20Pituitary%20Communication%20X.html" TargetMode="External"/><Relationship Id="rId32" Type="http://schemas.openxmlformats.org/officeDocument/2006/relationships/hyperlink" Target="http://www.usdbiology.com/cliff/Courses/Endocrinology/14%20Steroids%20XIV.html" TargetMode="External"/><Relationship Id="rId37" Type="http://schemas.openxmlformats.org/officeDocument/2006/relationships/hyperlink" Target="http://www.usdbiology.com/cliff/Courses/Endocrinology/15%20HPA%20XV.html" TargetMode="External"/><Relationship Id="rId40" Type="http://schemas.openxmlformats.org/officeDocument/2006/relationships/hyperlink" Target="http://www.usdbiology.com/cliff/Courses/Endocrinology/18%20HPG%20XIX.html" TargetMode="External"/><Relationship Id="rId45" Type="http://schemas.openxmlformats.org/officeDocument/2006/relationships/hyperlink" Target="http://www.usdbiology.com/cliff/Courses/Endocrinology/20%20GH%20Somatic%20Axis%20XXII.html" TargetMode="External"/><Relationship Id="rId53" Type="http://schemas.openxmlformats.org/officeDocument/2006/relationships/hyperlink" Target="http://www.usdbiology.com/cliff/Courses/Endocrinology/24%20Insulin%20Glucagon%20XXVI.html" TargetMode="External"/><Relationship Id="rId58" Type="http://schemas.openxmlformats.org/officeDocument/2006/relationships/hyperlink" Target="http://www.usdbiology.com/cliff/Courses/Endocrinology/28%20Neurosteroids%20XXXI.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usdbiology.com/cliff/Courses/Endocrinology/30%20Endocrine%20Evolution%20XXXII.html" TargetMode="External"/><Relationship Id="rId19" Type="http://schemas.openxmlformats.org/officeDocument/2006/relationships/hyperlink" Target="http://www.usdbiology.com/cliff/Courses/Endocrinology/5%20Membrane%20R%202nd%20Messengers.html.html" TargetMode="External"/><Relationship Id="rId14" Type="http://schemas.openxmlformats.org/officeDocument/2006/relationships/hyperlink" Target="http://www.usdbiology.com/cliff/Courses/Endocrinology/2%20Endocrine%20Glands%20II.html" TargetMode="External"/><Relationship Id="rId22" Type="http://schemas.openxmlformats.org/officeDocument/2006/relationships/hyperlink" Target="http://www.usdbiology.com/cliff/Courses/Endocrinology/8%20Hormone%20Synthesis%20VIII.html" TargetMode="External"/><Relationship Id="rId27" Type="http://schemas.openxmlformats.org/officeDocument/2006/relationships/hyperlink" Target="http://www.usdbiology.com/cliff/Courses/Endocrinology/11%20Tropic%20Hormones%20XI.html" TargetMode="External"/><Relationship Id="rId30" Type="http://schemas.openxmlformats.org/officeDocument/2006/relationships/hyperlink" Target="http://www.usdbiology.com/cliff/Courses/Endocrinology/13%20Thyroid%20Axis%20XIII.html" TargetMode="External"/><Relationship Id="rId35" Type="http://schemas.openxmlformats.org/officeDocument/2006/relationships/hyperlink" Target="http://www.usdbiology.com/cliff/Courses/Endocrinology/15%20HPA%20XV.html" TargetMode="External"/><Relationship Id="rId43" Type="http://schemas.openxmlformats.org/officeDocument/2006/relationships/hyperlink" Target="http://www.usdbiology.com/cliff/Courses/Endocrinology/19%20PrL%20XX%20XXI.html" TargetMode="External"/><Relationship Id="rId48" Type="http://schemas.openxmlformats.org/officeDocument/2006/relationships/hyperlink" Target="http://www.usdbiology.com/cliff/Courses/Endocrinology/Videos/GF%20lecture%2018.MOV" TargetMode="External"/><Relationship Id="rId56" Type="http://schemas.openxmlformats.org/officeDocument/2006/relationships/hyperlink" Target="http://www.usdbiology.com/cliff/Courses/Endocrinology/26%20Guts%20and%20Brains%20XXIX.html" TargetMode="External"/><Relationship Id="rId64" Type="http://schemas.openxmlformats.org/officeDocument/2006/relationships/header" Target="header1.xml"/><Relationship Id="rId8" Type="http://schemas.openxmlformats.org/officeDocument/2006/relationships/hyperlink" Target="http://www.usd.edu/" TargetMode="External"/><Relationship Id="rId51" Type="http://schemas.openxmlformats.org/officeDocument/2006/relationships/hyperlink" Target="http://www.usdbiology.com/cliff/Courses/Endocrinology/23%20Ca%20PO4%20XXV.html" TargetMode="External"/><Relationship Id="rId3" Type="http://schemas.openxmlformats.org/officeDocument/2006/relationships/settings" Target="settings.xml"/><Relationship Id="rId12" Type="http://schemas.openxmlformats.org/officeDocument/2006/relationships/hyperlink" Target="http://www.usdbiology.com/cliff/ac.html" TargetMode="External"/><Relationship Id="rId17" Type="http://schemas.openxmlformats.org/officeDocument/2006/relationships/hyperlink" Target="http://www.usdbiology.com/cliff/Courses/Endocrinology/5%20Membrane%20R%202nd%20Messengers.html.html" TargetMode="External"/><Relationship Id="rId25" Type="http://schemas.openxmlformats.org/officeDocument/2006/relationships/hyperlink" Target="http://www.usdbiology.com/cliff/Courses/Endocrinology/10%20Hypothalamus%20Pituitary%20Communication%20X.html" TargetMode="External"/><Relationship Id="rId33" Type="http://schemas.openxmlformats.org/officeDocument/2006/relationships/hyperlink" Target="http://www.usdbiology.com/cliff/Courses/Endocrinology/14%20Steroids%20XIV.html" TargetMode="External"/><Relationship Id="rId38" Type="http://schemas.openxmlformats.org/officeDocument/2006/relationships/hyperlink" Target="http://www.usdbiology.com/cliff/Courses/Endocrinology/16%20Catecholamines%20XVI%20XVII.html" TargetMode="External"/><Relationship Id="rId46" Type="http://schemas.openxmlformats.org/officeDocument/2006/relationships/hyperlink" Target="http://www.usdbiology.com/cliff/Courses/Endocrinology/Videos/GH%20lecture%2018.MOV" TargetMode="External"/><Relationship Id="rId59" Type="http://schemas.openxmlformats.org/officeDocument/2006/relationships/hyperlink" Target="http://www.usdbiology.com/cliff/Courses/Endocrinology/29%20Neuropeptides%20XXXII.html" TargetMode="External"/><Relationship Id="rId20" Type="http://schemas.openxmlformats.org/officeDocument/2006/relationships/hyperlink" Target="http://www.usdbiology.com/cliff/Courses/Endocrinology/6%20Nuclear%20Receptors%20VI.html" TargetMode="External"/><Relationship Id="rId41" Type="http://schemas.openxmlformats.org/officeDocument/2006/relationships/hyperlink" Target="http://www.usdbiology.com/cliff/Courses/Endocrinology/18%20HPG%20XIX.html" TargetMode="External"/><Relationship Id="rId54" Type="http://schemas.openxmlformats.org/officeDocument/2006/relationships/hyperlink" Target="http://www.usdbiology.com/cliff/Courses/Endocrinology/24%20Insulin%20Glucagon%20XXVI.html" TargetMode="External"/><Relationship Id="rId62" Type="http://schemas.openxmlformats.org/officeDocument/2006/relationships/hyperlink" Target="http://www.usd.edu/d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dbiology.com/cliff/Courses/Endocrinology/3%20Receptors%20III.html" TargetMode="External"/><Relationship Id="rId23" Type="http://schemas.openxmlformats.org/officeDocument/2006/relationships/hyperlink" Target="http://www.usdbiology.com/cliff/Courses/Endocrinology/9%20Receptor%20Regulation%20IX.html" TargetMode="External"/><Relationship Id="rId28" Type="http://schemas.openxmlformats.org/officeDocument/2006/relationships/hyperlink" Target="http://www.usdbiology.com/cliff/Courses/Endocrinology/12%20Neurohypophysial%20Nonapeptides%20XII.html" TargetMode="External"/><Relationship Id="rId36" Type="http://schemas.openxmlformats.org/officeDocument/2006/relationships/hyperlink" Target="http://www.usdbiology.com/cliff/Courses/Endocrinology/15%20HPA%20XV.html" TargetMode="External"/><Relationship Id="rId49" Type="http://schemas.openxmlformats.org/officeDocument/2006/relationships/hyperlink" Target="http://www.usdbiology.com/cliff/Courses/Endocrinology/22%20Immune%20Factors%20XXIV.html" TargetMode="External"/><Relationship Id="rId57" Type="http://schemas.openxmlformats.org/officeDocument/2006/relationships/hyperlink" Target="http://www.usdbiology.com/cliff/Courses/Endocrinology/27%20Melatonin%20XXX.html" TargetMode="External"/><Relationship Id="rId10" Type="http://schemas.openxmlformats.org/officeDocument/2006/relationships/hyperlink" Target="http://usdbiology.com/cliff/Courses/Endocrinology/Endocrinology%20Syllabus%2018.html" TargetMode="External"/><Relationship Id="rId31" Type="http://schemas.openxmlformats.org/officeDocument/2006/relationships/hyperlink" Target="http://www.usdbiology.com/cliff/Courses/Endocrinology/14%20Steroids%20XIV.html" TargetMode="External"/><Relationship Id="rId44" Type="http://schemas.openxmlformats.org/officeDocument/2006/relationships/hyperlink" Target="http://www.usdbiology.com/cliff/Courses/Endocrinology/Videos/PrL%20lecture%2018.MOV" TargetMode="External"/><Relationship Id="rId52" Type="http://schemas.openxmlformats.org/officeDocument/2006/relationships/hyperlink" Target="http://www.usdbiology.com/cliff/Courses/Endocrinology/Videos/Ca%20PO4%20lecture%2018.MOV" TargetMode="External"/><Relationship Id="rId60" Type="http://schemas.openxmlformats.org/officeDocument/2006/relationships/hyperlink" Target="http://www.usdbiology.com/cliff/Courses/Endocrinology/30%20Endocrine%20Evolution%20XXXIII.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www.usdbiology.com/cliff/Courses/Endocrinology/1%20Hormones%20I.html" TargetMode="External"/><Relationship Id="rId18" Type="http://schemas.openxmlformats.org/officeDocument/2006/relationships/hyperlink" Target="http://www.usdbiology.com/cliff/Courses/Endocrinology/5%20Membrane%20R%202nd%20Messengers.html.html" TargetMode="External"/><Relationship Id="rId39" Type="http://schemas.openxmlformats.org/officeDocument/2006/relationships/hyperlink" Target="http://www.usdbiology.com/cliff/Courses/Endocrinology/17%20Osmotic%20Pressure%20Balance%20XVII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John E</dc:creator>
  <cp:lastModifiedBy>Summers, Cliff</cp:lastModifiedBy>
  <cp:revision>4</cp:revision>
  <dcterms:created xsi:type="dcterms:W3CDTF">2019-08-28T16:35:00Z</dcterms:created>
  <dcterms:modified xsi:type="dcterms:W3CDTF">2019-08-28T16:48:00Z</dcterms:modified>
</cp:coreProperties>
</file>